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2"/>
        </w:rPr>
      </w:pPr>
      <w:r>
        <w:rPr>
          <w:rFonts w:eastAsia="黑体"/>
          <w:sz w:val="32"/>
        </w:rPr>
        <w:t>附件1</w:t>
      </w:r>
    </w:p>
    <w:p/>
    <w:p>
      <w:pPr>
        <w:jc w:val="center"/>
        <w:rPr>
          <w:rFonts w:eastAsia="华文中宋"/>
          <w:b/>
          <w:sz w:val="52"/>
          <w:szCs w:val="52"/>
        </w:rPr>
      </w:pPr>
      <w:r>
        <w:rPr>
          <w:rFonts w:eastAsia="华文中宋"/>
          <w:b/>
          <w:sz w:val="52"/>
          <w:szCs w:val="52"/>
        </w:rPr>
        <w:t>高校“青蓝工程”优秀青年骨干教师</w:t>
      </w:r>
    </w:p>
    <w:p>
      <w:pPr>
        <w:jc w:val="center"/>
        <w:rPr>
          <w:rFonts w:eastAsia="华文中宋"/>
          <w:b/>
          <w:sz w:val="52"/>
          <w:szCs w:val="52"/>
        </w:rPr>
      </w:pPr>
      <w:r>
        <w:rPr>
          <w:rFonts w:eastAsia="华文中宋"/>
          <w:b/>
          <w:sz w:val="52"/>
          <w:szCs w:val="52"/>
        </w:rPr>
        <w:t>培养对象推荐表</w:t>
      </w:r>
    </w:p>
    <w:p>
      <w:pPr>
        <w:rPr>
          <w:b/>
          <w:sz w:val="48"/>
        </w:rPr>
      </w:pPr>
    </w:p>
    <w:p>
      <w:pPr>
        <w:jc w:val="center"/>
        <w:rPr>
          <w:sz w:val="48"/>
        </w:rPr>
      </w:pPr>
    </w:p>
    <w:p/>
    <w:p/>
    <w:p/>
    <w:p/>
    <w:p/>
    <w:p/>
    <w:p/>
    <w:p>
      <w:pPr>
        <w:keepNext w:val="0"/>
        <w:keepLines w:val="0"/>
        <w:pageBreakBefore w:val="0"/>
        <w:widowControl w:val="0"/>
        <w:kinsoku/>
        <w:wordWrap/>
        <w:overflowPunct/>
        <w:topLinePunct w:val="0"/>
        <w:autoSpaceDE/>
        <w:autoSpaceDN/>
        <w:bidi w:val="0"/>
        <w:adjustRightInd/>
        <w:snapToGrid/>
        <w:ind w:firstLine="1600" w:firstLineChars="500"/>
        <w:jc w:val="both"/>
        <w:textAlignment w:val="auto"/>
        <w:outlineLvl w:val="9"/>
        <w:rPr>
          <w:sz w:val="36"/>
          <w:u w:val="single"/>
        </w:rPr>
      </w:pPr>
      <w:r>
        <w:rPr>
          <w:rFonts w:eastAsia="黑体"/>
          <w:sz w:val="32"/>
          <w:szCs w:val="32"/>
        </w:rPr>
        <w:t>推荐人选：</w:t>
      </w:r>
      <w:r>
        <w:rPr>
          <w:rFonts w:eastAsia="黑体"/>
          <w:sz w:val="32"/>
          <w:szCs w:val="32"/>
          <w:u w:val="single"/>
        </w:rPr>
        <w:t xml:space="preserve">     </w:t>
      </w:r>
      <w:r>
        <w:rPr>
          <w:rFonts w:hint="eastAsia" w:eastAsia="黑体"/>
          <w:sz w:val="32"/>
          <w:szCs w:val="32"/>
          <w:u w:val="single"/>
        </w:rPr>
        <w:t xml:space="preserve">    韩美英 </w:t>
      </w:r>
      <w:r>
        <w:rPr>
          <w:rFonts w:eastAsia="黑体"/>
          <w:sz w:val="32"/>
          <w:szCs w:val="32"/>
          <w:u w:val="single"/>
        </w:rPr>
        <w:t xml:space="preserve">        </w:t>
      </w:r>
    </w:p>
    <w:p>
      <w:pPr>
        <w:keepNext w:val="0"/>
        <w:keepLines w:val="0"/>
        <w:pageBreakBefore w:val="0"/>
        <w:widowControl w:val="0"/>
        <w:kinsoku/>
        <w:wordWrap/>
        <w:overflowPunct/>
        <w:topLinePunct w:val="0"/>
        <w:autoSpaceDE/>
        <w:autoSpaceDN/>
        <w:bidi w:val="0"/>
        <w:adjustRightInd/>
        <w:snapToGrid/>
        <w:ind w:firstLine="1600" w:firstLineChars="500"/>
        <w:jc w:val="both"/>
        <w:textAlignment w:val="auto"/>
        <w:outlineLvl w:val="9"/>
        <w:rPr>
          <w:sz w:val="36"/>
          <w:u w:val="single"/>
        </w:rPr>
      </w:pPr>
      <w:r>
        <w:rPr>
          <w:rFonts w:eastAsia="黑体"/>
          <w:sz w:val="32"/>
          <w:szCs w:val="32"/>
        </w:rPr>
        <w:t>所在学校：</w:t>
      </w:r>
      <w:r>
        <w:rPr>
          <w:rFonts w:hint="eastAsia" w:eastAsia="黑体"/>
          <w:sz w:val="32"/>
          <w:szCs w:val="32"/>
          <w:u w:val="single"/>
        </w:rPr>
        <w:t>苏州高博软件技术职业学院</w:t>
      </w:r>
    </w:p>
    <w:p>
      <w:pPr>
        <w:keepNext w:val="0"/>
        <w:keepLines w:val="0"/>
        <w:pageBreakBefore w:val="0"/>
        <w:widowControl w:val="0"/>
        <w:kinsoku/>
        <w:wordWrap/>
        <w:overflowPunct/>
        <w:topLinePunct w:val="0"/>
        <w:autoSpaceDE/>
        <w:autoSpaceDN/>
        <w:bidi w:val="0"/>
        <w:adjustRightInd/>
        <w:snapToGrid/>
        <w:ind w:firstLine="1600" w:firstLineChars="500"/>
        <w:jc w:val="both"/>
        <w:textAlignment w:val="auto"/>
        <w:outlineLvl w:val="9"/>
        <w:rPr>
          <w:rFonts w:eastAsia="黑体"/>
          <w:sz w:val="32"/>
          <w:szCs w:val="32"/>
          <w:u w:val="single"/>
        </w:rPr>
      </w:pPr>
      <w:r>
        <w:rPr>
          <w:rFonts w:eastAsia="黑体"/>
          <w:sz w:val="32"/>
          <w:szCs w:val="32"/>
        </w:rPr>
        <w:t>填表时间：</w:t>
      </w:r>
      <w:r>
        <w:rPr>
          <w:rFonts w:eastAsia="黑体"/>
          <w:sz w:val="32"/>
          <w:szCs w:val="32"/>
          <w:u w:val="single"/>
        </w:rPr>
        <w:t xml:space="preserve">     </w:t>
      </w:r>
      <w:r>
        <w:rPr>
          <w:rFonts w:hint="eastAsia" w:eastAsia="黑体"/>
          <w:sz w:val="32"/>
          <w:szCs w:val="32"/>
          <w:u w:val="single"/>
        </w:rPr>
        <w:t>2018年12月</w:t>
      </w:r>
      <w:r>
        <w:rPr>
          <w:rFonts w:eastAsia="黑体"/>
          <w:sz w:val="32"/>
          <w:szCs w:val="32"/>
          <w:u w:val="single"/>
        </w:rPr>
        <w:t xml:space="preserve"> </w:t>
      </w:r>
      <w:r>
        <w:rPr>
          <w:rFonts w:hint="eastAsia" w:eastAsia="黑体"/>
          <w:sz w:val="32"/>
          <w:szCs w:val="32"/>
          <w:u w:val="single"/>
        </w:rPr>
        <w:t xml:space="preserve"> </w:t>
      </w:r>
      <w:r>
        <w:rPr>
          <w:rFonts w:eastAsia="黑体"/>
          <w:sz w:val="32"/>
          <w:szCs w:val="32"/>
          <w:u w:val="single"/>
        </w:rPr>
        <w:t xml:space="preserve">      </w:t>
      </w:r>
    </w:p>
    <w:p>
      <w:pPr>
        <w:ind w:firstLine="1800"/>
        <w:rPr>
          <w:sz w:val="36"/>
        </w:rPr>
      </w:pPr>
    </w:p>
    <w:p>
      <w:bookmarkStart w:id="0" w:name="_GoBack"/>
      <w:bookmarkEnd w:id="0"/>
    </w:p>
    <w:p/>
    <w:p/>
    <w:p/>
    <w:p/>
    <w:p/>
    <w:p>
      <w:pPr>
        <w:jc w:val="center"/>
        <w:rPr>
          <w:sz w:val="32"/>
        </w:rPr>
      </w:pPr>
    </w:p>
    <w:p>
      <w:pPr>
        <w:jc w:val="center"/>
        <w:rPr>
          <w:sz w:val="32"/>
        </w:rPr>
      </w:pPr>
      <w:r>
        <w:rPr>
          <w:sz w:val="32"/>
        </w:rPr>
        <w:t>江苏省教育厅制</w:t>
      </w:r>
    </w:p>
    <w:p>
      <w:pPr>
        <w:rPr>
          <w:sz w:val="32"/>
        </w:rPr>
      </w:pPr>
    </w:p>
    <w:p>
      <w:pPr>
        <w:rPr>
          <w:sz w:val="32"/>
        </w:rPr>
      </w:pPr>
    </w:p>
    <w:p>
      <w:pPr>
        <w:rPr>
          <w:sz w:val="32"/>
        </w:rPr>
      </w:pPr>
    </w:p>
    <w:p>
      <w:pPr>
        <w:jc w:val="center"/>
        <w:rPr>
          <w:rFonts w:eastAsia="华文中宋"/>
          <w:b/>
          <w:sz w:val="36"/>
          <w:szCs w:val="36"/>
        </w:rPr>
      </w:pPr>
      <w:r>
        <w:rPr>
          <w:rFonts w:eastAsia="华文中宋"/>
          <w:b/>
          <w:sz w:val="36"/>
          <w:szCs w:val="36"/>
        </w:rPr>
        <w:t>填写说明</w:t>
      </w:r>
    </w:p>
    <w:p>
      <w:pPr>
        <w:jc w:val="center"/>
        <w:rPr>
          <w:rFonts w:eastAsia="华文中宋"/>
          <w:b/>
          <w:sz w:val="32"/>
          <w:szCs w:val="32"/>
        </w:rPr>
      </w:pPr>
    </w:p>
    <w:p>
      <w:pPr>
        <w:ind w:firstLine="640" w:firstLineChars="200"/>
        <w:rPr>
          <w:rFonts w:eastAsia="仿宋_GB2312"/>
          <w:sz w:val="32"/>
          <w:szCs w:val="32"/>
        </w:rPr>
      </w:pPr>
      <w:r>
        <w:rPr>
          <w:rFonts w:eastAsia="仿宋_GB2312"/>
          <w:sz w:val="32"/>
          <w:szCs w:val="32"/>
        </w:rPr>
        <w:t>一、填写本表前，请认真阅读</w:t>
      </w:r>
      <w:r>
        <w:rPr>
          <w:rFonts w:eastAsia="仿宋_GB2312"/>
          <w:color w:val="141414"/>
          <w:sz w:val="32"/>
          <w:szCs w:val="32"/>
        </w:rPr>
        <w:t>《江苏高校“青蓝工程”管理办法》和</w:t>
      </w:r>
      <w:r>
        <w:rPr>
          <w:rFonts w:eastAsia="仿宋_GB2312"/>
          <w:sz w:val="32"/>
          <w:szCs w:val="32"/>
        </w:rPr>
        <w:t>《省教育厅关于开展2019年度高校“青蓝工程”培养对象选拔工作的通知》。</w:t>
      </w:r>
    </w:p>
    <w:p>
      <w:pPr>
        <w:ind w:firstLine="640" w:firstLineChars="200"/>
        <w:rPr>
          <w:rFonts w:eastAsia="仿宋_GB2312"/>
          <w:sz w:val="32"/>
          <w:szCs w:val="32"/>
        </w:rPr>
      </w:pPr>
      <w:r>
        <w:rPr>
          <w:rFonts w:eastAsia="仿宋_GB2312"/>
          <w:sz w:val="32"/>
          <w:szCs w:val="32"/>
        </w:rPr>
        <w:t>二、填写本表要认真负责，实事求是，表达明确，用A4纸双面打印。</w:t>
      </w:r>
    </w:p>
    <w:p>
      <w:pPr>
        <w:spacing w:line="400" w:lineRule="atLeast"/>
        <w:ind w:firstLine="595"/>
        <w:rPr>
          <w:rFonts w:eastAsia="仿宋_GB2312"/>
          <w:sz w:val="32"/>
          <w:szCs w:val="32"/>
        </w:rPr>
      </w:pPr>
      <w:r>
        <w:rPr>
          <w:rFonts w:eastAsia="仿宋_GB2312"/>
          <w:sz w:val="32"/>
          <w:szCs w:val="32"/>
        </w:rPr>
        <w:t>三、本表内有关栏目如不够填写，可自行加页，加页需紧附该栏目之后。</w:t>
      </w:r>
    </w:p>
    <w:p>
      <w:pPr>
        <w:rPr>
          <w:sz w:val="24"/>
        </w:rPr>
      </w:pPr>
      <w:r>
        <w:br w:type="page"/>
      </w:r>
      <w:r>
        <w:rPr>
          <w:sz w:val="24"/>
        </w:rPr>
        <w:t>一、推荐人选简况</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885"/>
        <w:gridCol w:w="540"/>
        <w:gridCol w:w="15"/>
        <w:gridCol w:w="525"/>
        <w:gridCol w:w="180"/>
        <w:gridCol w:w="180"/>
        <w:gridCol w:w="180"/>
        <w:gridCol w:w="486"/>
        <w:gridCol w:w="774"/>
        <w:gridCol w:w="15"/>
        <w:gridCol w:w="705"/>
        <w:gridCol w:w="15"/>
        <w:gridCol w:w="525"/>
        <w:gridCol w:w="360"/>
        <w:gridCol w:w="15"/>
        <w:gridCol w:w="218"/>
        <w:gridCol w:w="322"/>
        <w:gridCol w:w="165"/>
        <w:gridCol w:w="180"/>
        <w:gridCol w:w="257"/>
        <w:gridCol w:w="103"/>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44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姓  名</w:t>
            </w:r>
          </w:p>
        </w:tc>
        <w:tc>
          <w:tcPr>
            <w:tcW w:w="126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rFonts w:hint="eastAsia"/>
                <w:sz w:val="24"/>
              </w:rPr>
              <w:t>韩美英</w:t>
            </w:r>
          </w:p>
        </w:tc>
        <w:tc>
          <w:tcPr>
            <w:tcW w:w="846"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性别</w:t>
            </w:r>
          </w:p>
        </w:tc>
        <w:tc>
          <w:tcPr>
            <w:tcW w:w="77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rFonts w:hint="eastAsia"/>
                <w:sz w:val="24"/>
              </w:rPr>
              <w:t>女</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民族</w:t>
            </w:r>
          </w:p>
        </w:tc>
        <w:tc>
          <w:tcPr>
            <w:tcW w:w="113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rFonts w:hint="eastAsia"/>
                <w:sz w:val="24"/>
              </w:rPr>
              <w:t>汉</w:t>
            </w:r>
          </w:p>
        </w:tc>
        <w:tc>
          <w:tcPr>
            <w:tcW w:w="924"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27"/>
              <w:jc w:val="center"/>
              <w:rPr>
                <w:sz w:val="24"/>
              </w:rPr>
            </w:pPr>
            <w:r>
              <w:rPr>
                <w:sz w:val="24"/>
              </w:rPr>
              <w:t>出生</w:t>
            </w:r>
          </w:p>
          <w:p>
            <w:pPr>
              <w:spacing w:line="300" w:lineRule="exact"/>
              <w:ind w:left="27"/>
              <w:jc w:val="center"/>
              <w:rPr>
                <w:sz w:val="24"/>
              </w:rPr>
            </w:pPr>
            <w:r>
              <w:rPr>
                <w:sz w:val="24"/>
              </w:rPr>
              <w:t>年月</w:t>
            </w:r>
          </w:p>
        </w:tc>
        <w:tc>
          <w:tcPr>
            <w:tcW w:w="17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rFonts w:hint="eastAsia"/>
                <w:sz w:val="24"/>
              </w:rPr>
              <w:t>1982.12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980"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现任专业技术职务及任职时间</w:t>
            </w:r>
          </w:p>
        </w:tc>
        <w:tc>
          <w:tcPr>
            <w:tcW w:w="2340"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sz w:val="24"/>
              </w:rPr>
            </w:pPr>
            <w:r>
              <w:rPr>
                <w:rFonts w:hint="eastAsia"/>
                <w:sz w:val="24"/>
              </w:rPr>
              <w:t>副教授   2017.10</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rPr>
                <w:sz w:val="24"/>
              </w:rPr>
            </w:pPr>
            <w:r>
              <w:rPr>
                <w:sz w:val="24"/>
              </w:rPr>
              <w:t>政治</w:t>
            </w:r>
          </w:p>
          <w:p>
            <w:pPr>
              <w:spacing w:line="300" w:lineRule="exact"/>
              <w:rPr>
                <w:sz w:val="24"/>
              </w:rPr>
            </w:pPr>
            <w:r>
              <w:rPr>
                <w:sz w:val="24"/>
              </w:rPr>
              <w:t>面貌</w:t>
            </w:r>
          </w:p>
        </w:tc>
        <w:tc>
          <w:tcPr>
            <w:tcW w:w="1133"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sz w:val="24"/>
              </w:rPr>
            </w:pPr>
            <w:r>
              <w:rPr>
                <w:rFonts w:hint="eastAsia"/>
                <w:sz w:val="24"/>
              </w:rPr>
              <w:t>中共党员</w:t>
            </w:r>
          </w:p>
        </w:tc>
        <w:tc>
          <w:tcPr>
            <w:tcW w:w="924"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党政</w:t>
            </w:r>
          </w:p>
          <w:p>
            <w:pPr>
              <w:spacing w:line="300" w:lineRule="exact"/>
              <w:jc w:val="center"/>
              <w:rPr>
                <w:sz w:val="24"/>
              </w:rPr>
            </w:pPr>
            <w:r>
              <w:rPr>
                <w:sz w:val="24"/>
              </w:rPr>
              <w:t>职务</w:t>
            </w:r>
          </w:p>
        </w:tc>
        <w:tc>
          <w:tcPr>
            <w:tcW w:w="1723"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24"/>
              </w:rPr>
            </w:pPr>
            <w:r>
              <w:rPr>
                <w:rFonts w:hint="eastAsia"/>
                <w:sz w:val="24"/>
              </w:rPr>
              <w:t>群众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3060" w:type="dxa"/>
            <w:gridSpan w:val="8"/>
            <w:tcBorders>
              <w:top w:val="single" w:color="auto" w:sz="4" w:space="0"/>
              <w:left w:val="single" w:color="auto" w:sz="4" w:space="0"/>
              <w:bottom w:val="single" w:color="auto" w:sz="4" w:space="0"/>
              <w:right w:val="single" w:color="auto" w:sz="4" w:space="0"/>
            </w:tcBorders>
            <w:vAlign w:val="center"/>
          </w:tcPr>
          <w:p>
            <w:pPr>
              <w:pStyle w:val="4"/>
              <w:jc w:val="both"/>
            </w:pPr>
            <w:r>
              <w:t>最终学位、取得时间及授予国家或地区、学校和专业</w:t>
            </w:r>
          </w:p>
        </w:tc>
        <w:tc>
          <w:tcPr>
            <w:tcW w:w="5760" w:type="dxa"/>
            <w:gridSpan w:val="16"/>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sz w:val="24"/>
              </w:rPr>
            </w:pPr>
            <w:r>
              <w:rPr>
                <w:rFonts w:hint="eastAsia"/>
                <w:sz w:val="24"/>
              </w:rPr>
              <w:t>工程硕士、2014年6月、中国、东南大学-软件学院-工程硕士专业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144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从事专业及</w:t>
            </w:r>
          </w:p>
          <w:p>
            <w:pPr>
              <w:spacing w:line="300" w:lineRule="exact"/>
              <w:jc w:val="center"/>
              <w:rPr>
                <w:sz w:val="24"/>
              </w:rPr>
            </w:pPr>
            <w:r>
              <w:rPr>
                <w:sz w:val="24"/>
              </w:rPr>
              <w:t>研究方向</w:t>
            </w:r>
          </w:p>
        </w:tc>
        <w:tc>
          <w:tcPr>
            <w:tcW w:w="4140" w:type="dxa"/>
            <w:gridSpan w:val="12"/>
            <w:tcBorders>
              <w:top w:val="single" w:color="auto" w:sz="4" w:space="0"/>
              <w:left w:val="single" w:color="auto" w:sz="4" w:space="0"/>
              <w:bottom w:val="single" w:color="auto" w:sz="4" w:space="0"/>
              <w:right w:val="single" w:color="auto" w:sz="4" w:space="0"/>
            </w:tcBorders>
            <w:vAlign w:val="center"/>
          </w:tcPr>
          <w:p>
            <w:pPr>
              <w:spacing w:line="300" w:lineRule="exact"/>
              <w:rPr>
                <w:sz w:val="24"/>
              </w:rPr>
            </w:pPr>
            <w:r>
              <w:rPr>
                <w:rFonts w:hint="eastAsia"/>
                <w:sz w:val="24"/>
              </w:rPr>
              <w:t>影视动画专业；影视设计、动画设计</w:t>
            </w:r>
          </w:p>
        </w:tc>
        <w:tc>
          <w:tcPr>
            <w:tcW w:w="1260" w:type="dxa"/>
            <w:gridSpan w:val="6"/>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是否博、硕士导师</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24"/>
              </w:rPr>
            </w:pPr>
            <w:r>
              <w:rPr>
                <w:rFonts w:hint="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1995"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参加何种学术团</w:t>
            </w:r>
          </w:p>
          <w:p>
            <w:pPr>
              <w:spacing w:line="300" w:lineRule="exact"/>
              <w:jc w:val="center"/>
              <w:rPr>
                <w:sz w:val="24"/>
              </w:rPr>
            </w:pPr>
            <w:r>
              <w:rPr>
                <w:sz w:val="24"/>
              </w:rPr>
              <w:t>体、任何职</w:t>
            </w:r>
          </w:p>
        </w:tc>
        <w:tc>
          <w:tcPr>
            <w:tcW w:w="234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sz w:val="24"/>
              </w:rPr>
            </w:pPr>
            <w:r>
              <w:rPr>
                <w:rFonts w:hint="eastAsia"/>
                <w:sz w:val="24"/>
              </w:rPr>
              <w:t>苏州漫画学会</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sz w:val="24"/>
              </w:rPr>
            </w:pPr>
            <w:r>
              <w:rPr>
                <w:sz w:val="24"/>
              </w:rPr>
              <w:t>外语</w:t>
            </w:r>
          </w:p>
          <w:p>
            <w:pPr>
              <w:widowControl/>
              <w:jc w:val="center"/>
              <w:rPr>
                <w:sz w:val="24"/>
              </w:rPr>
            </w:pPr>
            <w:r>
              <w:rPr>
                <w:sz w:val="24"/>
              </w:rPr>
              <w:t>水平</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rPr>
                <w:sz w:val="24"/>
              </w:rPr>
            </w:pPr>
            <w:r>
              <w:rPr>
                <w:rFonts w:hint="eastAsia"/>
                <w:sz w:val="24"/>
              </w:rPr>
              <w:t>良好</w:t>
            </w:r>
          </w:p>
        </w:tc>
        <w:tc>
          <w:tcPr>
            <w:tcW w:w="12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sz w:val="24"/>
              </w:rPr>
            </w:pPr>
            <w:r>
              <w:rPr>
                <w:sz w:val="24"/>
              </w:rPr>
              <w:t>计算机应</w:t>
            </w:r>
          </w:p>
          <w:p>
            <w:pPr>
              <w:widowControl/>
              <w:jc w:val="center"/>
              <w:rPr>
                <w:sz w:val="24"/>
              </w:rPr>
            </w:pPr>
            <w:r>
              <w:rPr>
                <w:sz w:val="24"/>
              </w:rPr>
              <w:t>用能力</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sz w:val="24"/>
              </w:rPr>
            </w:pPr>
            <w:r>
              <w:rPr>
                <w:rFonts w:hint="eastAsia"/>
                <w:sz w:val="24"/>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44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所在院（系）</w:t>
            </w:r>
          </w:p>
        </w:tc>
        <w:tc>
          <w:tcPr>
            <w:tcW w:w="2895" w:type="dxa"/>
            <w:gridSpan w:val="9"/>
            <w:tcBorders>
              <w:top w:val="single" w:color="auto" w:sz="4" w:space="0"/>
              <w:left w:val="single" w:color="auto" w:sz="4" w:space="0"/>
              <w:bottom w:val="single" w:color="auto" w:sz="4" w:space="0"/>
              <w:right w:val="single" w:color="auto" w:sz="4" w:space="0"/>
            </w:tcBorders>
            <w:vAlign w:val="center"/>
          </w:tcPr>
          <w:p>
            <w:pPr>
              <w:spacing w:line="300" w:lineRule="exact"/>
              <w:ind w:firstLine="120" w:firstLineChars="50"/>
              <w:rPr>
                <w:sz w:val="24"/>
              </w:rPr>
            </w:pPr>
            <w:r>
              <w:rPr>
                <w:rFonts w:hint="eastAsia"/>
                <w:sz w:val="24"/>
              </w:rPr>
              <w:t>艺术与建筑学院</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手机</w:t>
            </w:r>
          </w:p>
        </w:tc>
        <w:tc>
          <w:tcPr>
            <w:tcW w:w="1440"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rPr>
                <w:sz w:val="24"/>
              </w:rPr>
            </w:pPr>
            <w:r>
              <w:rPr>
                <w:rFonts w:hint="eastAsia"/>
                <w:sz w:val="24"/>
              </w:rPr>
              <w:t>18913191185</w:t>
            </w:r>
          </w:p>
        </w:tc>
        <w:tc>
          <w:tcPr>
            <w:tcW w:w="705"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rPr>
                <w:sz w:val="24"/>
              </w:rPr>
            </w:pPr>
            <w:r>
              <w:rPr>
                <w:sz w:val="24"/>
              </w:rPr>
              <w:t>电子邮箱</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24"/>
              </w:rPr>
            </w:pPr>
            <w:r>
              <w:rPr>
                <w:rFonts w:hint="eastAsia"/>
                <w:sz w:val="24"/>
              </w:rPr>
              <w:t>156206069@qq.com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44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rPr>
                <w:sz w:val="24"/>
              </w:rPr>
            </w:pPr>
            <w:r>
              <w:rPr>
                <w:sz w:val="24"/>
              </w:rPr>
              <w:t>所在一级、二级学科名称</w:t>
            </w:r>
          </w:p>
        </w:tc>
        <w:tc>
          <w:tcPr>
            <w:tcW w:w="1440" w:type="dxa"/>
            <w:gridSpan w:val="5"/>
            <w:tcBorders>
              <w:top w:val="single" w:color="auto" w:sz="4" w:space="0"/>
              <w:left w:val="single" w:color="auto" w:sz="4" w:space="0"/>
              <w:bottom w:val="single" w:color="auto" w:sz="4" w:space="0"/>
              <w:right w:val="single" w:color="auto" w:sz="4" w:space="0"/>
            </w:tcBorders>
            <w:vAlign w:val="center"/>
          </w:tcPr>
          <w:p>
            <w:pPr>
              <w:widowControl/>
              <w:spacing w:line="300" w:lineRule="exact"/>
              <w:rPr>
                <w:sz w:val="24"/>
              </w:rPr>
            </w:pPr>
            <w:r>
              <w:rPr>
                <w:rFonts w:hint="eastAsia"/>
                <w:sz w:val="24"/>
              </w:rPr>
              <w:t>新闻传播大类、广播影视类</w:t>
            </w:r>
          </w:p>
        </w:tc>
        <w:tc>
          <w:tcPr>
            <w:tcW w:w="3060" w:type="dxa"/>
            <w:gridSpan w:val="8"/>
            <w:tcBorders>
              <w:top w:val="single" w:color="auto" w:sz="4" w:space="0"/>
              <w:left w:val="single" w:color="auto" w:sz="4" w:space="0"/>
              <w:bottom w:val="single" w:color="auto" w:sz="4" w:space="0"/>
              <w:right w:val="single" w:color="auto" w:sz="4" w:space="0"/>
            </w:tcBorders>
            <w:vAlign w:val="center"/>
          </w:tcPr>
          <w:p>
            <w:pPr>
              <w:widowControl/>
              <w:spacing w:line="300" w:lineRule="exact"/>
              <w:rPr>
                <w:sz w:val="24"/>
              </w:rPr>
            </w:pPr>
            <w:r>
              <w:rPr>
                <w:sz w:val="24"/>
              </w:rPr>
              <w:t>是否国家、省部级重点学科、重点实验室、工程（技术）研究中心、省优势学科</w:t>
            </w:r>
          </w:p>
        </w:tc>
        <w:tc>
          <w:tcPr>
            <w:tcW w:w="720" w:type="dxa"/>
            <w:gridSpan w:val="4"/>
            <w:tcBorders>
              <w:top w:val="single" w:color="auto" w:sz="4" w:space="0"/>
              <w:left w:val="single" w:color="auto" w:sz="4" w:space="0"/>
              <w:bottom w:val="single" w:color="auto" w:sz="4" w:space="0"/>
              <w:right w:val="single" w:color="auto" w:sz="4" w:space="0"/>
            </w:tcBorders>
            <w:vAlign w:val="center"/>
          </w:tcPr>
          <w:p>
            <w:pPr>
              <w:widowControl/>
              <w:rPr>
                <w:sz w:val="24"/>
              </w:rPr>
            </w:pPr>
            <w:r>
              <w:rPr>
                <w:rFonts w:hint="eastAsia"/>
                <w:sz w:val="24"/>
              </w:rPr>
              <w:t>否</w:t>
            </w:r>
          </w:p>
        </w:tc>
        <w:tc>
          <w:tcPr>
            <w:tcW w:w="1260" w:type="dxa"/>
            <w:gridSpan w:val="4"/>
            <w:tcBorders>
              <w:top w:val="single" w:color="auto" w:sz="4" w:space="0"/>
              <w:left w:val="single" w:color="auto" w:sz="4" w:space="0"/>
              <w:bottom w:val="single" w:color="auto" w:sz="4" w:space="0"/>
              <w:right w:val="single" w:color="auto" w:sz="4" w:space="0"/>
            </w:tcBorders>
            <w:vAlign w:val="center"/>
          </w:tcPr>
          <w:p>
            <w:pPr>
              <w:widowControl/>
              <w:ind w:left="75"/>
              <w:jc w:val="center"/>
              <w:rPr>
                <w:sz w:val="24"/>
              </w:rPr>
            </w:pPr>
            <w:r>
              <w:rPr>
                <w:sz w:val="24"/>
              </w:rPr>
              <w:t>是否博、</w:t>
            </w:r>
          </w:p>
          <w:p>
            <w:pPr>
              <w:ind w:left="75"/>
              <w:rPr>
                <w:sz w:val="24"/>
              </w:rPr>
            </w:pPr>
            <w:r>
              <w:rPr>
                <w:sz w:val="24"/>
              </w:rPr>
              <w:t>硕士点</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rPr>
                <w:sz w:val="24"/>
              </w:rPr>
            </w:pPr>
            <w:r>
              <w:rPr>
                <w:rFonts w:hint="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trPr>
        <w:tc>
          <w:tcPr>
            <w:tcW w:w="55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工作简历</w:t>
            </w:r>
          </w:p>
        </w:tc>
        <w:tc>
          <w:tcPr>
            <w:tcW w:w="1965"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起止年月</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工作单位、部门</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任何职务</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2006年8月-2007年11月</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苏州托普信息职业学院</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专职教师</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2007年11月-至今</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苏州高博软件技术职业学院</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专任教师；</w:t>
            </w:r>
          </w:p>
          <w:p>
            <w:pPr>
              <w:jc w:val="center"/>
              <w:rPr>
                <w:rFonts w:hint="eastAsia"/>
                <w:sz w:val="24"/>
              </w:rPr>
            </w:pPr>
            <w:r>
              <w:rPr>
                <w:rFonts w:hint="eastAsia"/>
                <w:sz w:val="24"/>
              </w:rPr>
              <w:t>视觉数字艺术系主任</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2014年3月-至今</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苏州方向传媒有限公司</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兼职后期部动画总监</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555"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进修情况</w:t>
            </w:r>
          </w:p>
        </w:tc>
        <w:tc>
          <w:tcPr>
            <w:tcW w:w="1965" w:type="dxa"/>
            <w:gridSpan w:val="4"/>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起止年月</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进修学校、单位及国别</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进修内容</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2014年9月</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人力资源和社会保障部职业技能鉴定中心</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摄影师考评员</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r>
              <w:rPr>
                <w:rFonts w:hint="eastAsia"/>
                <w:sz w:val="24"/>
              </w:rPr>
              <w:t>2016年7月</w:t>
            </w: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江苏省高等职业教育教师培训中心</w:t>
            </w: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高等职业院校骨干教师培训</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c>
          <w:tcPr>
            <w:tcW w:w="25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620" w:type="dxa"/>
            <w:gridSpan w:val="7"/>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r>
    </w:tbl>
    <w:p>
      <w:pPr>
        <w:rPr>
          <w:sz w:val="24"/>
        </w:rPr>
      </w:pPr>
    </w:p>
    <w:p>
      <w:pPr>
        <w:rPr>
          <w:sz w:val="24"/>
        </w:rPr>
      </w:pPr>
    </w:p>
    <w:p>
      <w:pPr>
        <w:rPr>
          <w:sz w:val="24"/>
        </w:rPr>
      </w:pPr>
      <w:r>
        <w:rPr>
          <w:sz w:val="24"/>
        </w:rPr>
        <w:t>二、教学科研工作情况（2014年以来）</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965"/>
        <w:gridCol w:w="900"/>
        <w:gridCol w:w="124"/>
        <w:gridCol w:w="1136"/>
        <w:gridCol w:w="707"/>
        <w:gridCol w:w="13"/>
        <w:gridCol w:w="979"/>
        <w:gridCol w:w="281"/>
        <w:gridCol w:w="428"/>
        <w:gridCol w:w="709"/>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0" w:hRule="atLeast"/>
        </w:trPr>
        <w:tc>
          <w:tcPr>
            <w:tcW w:w="555"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教学工作情况</w:t>
            </w: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授课</w:t>
            </w:r>
          </w:p>
          <w:p>
            <w:pPr>
              <w:jc w:val="center"/>
              <w:rPr>
                <w:sz w:val="24"/>
              </w:rPr>
            </w:pPr>
            <w:r>
              <w:rPr>
                <w:sz w:val="24"/>
              </w:rPr>
              <w:t>名称</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课程</w:t>
            </w:r>
          </w:p>
          <w:p>
            <w:pPr>
              <w:jc w:val="center"/>
              <w:rPr>
                <w:sz w:val="24"/>
              </w:rPr>
            </w:pPr>
            <w:r>
              <w:rPr>
                <w:sz w:val="24"/>
              </w:rPr>
              <w:t>性质</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授课起</w:t>
            </w:r>
          </w:p>
          <w:p>
            <w:pPr>
              <w:jc w:val="center"/>
              <w:rPr>
                <w:sz w:val="24"/>
              </w:rPr>
            </w:pPr>
            <w:r>
              <w:rPr>
                <w:sz w:val="24"/>
              </w:rPr>
              <w:t>止日期</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授课</w:t>
            </w:r>
          </w:p>
          <w:p>
            <w:pPr>
              <w:jc w:val="center"/>
              <w:rPr>
                <w:sz w:val="24"/>
              </w:rPr>
            </w:pPr>
            <w:r>
              <w:rPr>
                <w:sz w:val="24"/>
              </w:rPr>
              <w:t>对象</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rPr>
                <w:sz w:val="24"/>
              </w:rPr>
            </w:pPr>
            <w:r>
              <w:rPr>
                <w:sz w:val="24"/>
              </w:rPr>
              <w:t>授课学</w:t>
            </w:r>
          </w:p>
          <w:p>
            <w:pPr>
              <w:rPr>
                <w:sz w:val="24"/>
              </w:rPr>
            </w:pPr>
            <w:r>
              <w:rPr>
                <w:sz w:val="24"/>
              </w:rPr>
              <w:t>生  数</w:t>
            </w:r>
          </w:p>
        </w:tc>
        <w:tc>
          <w:tcPr>
            <w:tcW w:w="709" w:type="dxa"/>
            <w:tcBorders>
              <w:top w:val="single" w:color="auto" w:sz="4" w:space="0"/>
              <w:left w:val="single" w:color="auto" w:sz="4" w:space="0"/>
              <w:bottom w:val="single" w:color="auto" w:sz="4" w:space="0"/>
              <w:right w:val="single" w:color="auto" w:sz="4" w:space="0"/>
            </w:tcBorders>
            <w:vAlign w:val="center"/>
          </w:tcPr>
          <w:p>
            <w:pPr>
              <w:rPr>
                <w:sz w:val="24"/>
              </w:rPr>
            </w:pPr>
            <w:r>
              <w:rPr>
                <w:sz w:val="24"/>
              </w:rPr>
              <w:t>总学</w:t>
            </w:r>
          </w:p>
          <w:p>
            <w:pPr>
              <w:rPr>
                <w:sz w:val="24"/>
              </w:rPr>
            </w:pPr>
            <w:r>
              <w:rPr>
                <w:sz w:val="24"/>
              </w:rPr>
              <w:t>时数</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教学考</w:t>
            </w:r>
          </w:p>
          <w:p>
            <w:pPr>
              <w:jc w:val="center"/>
              <w:rPr>
                <w:sz w:val="24"/>
              </w:rPr>
            </w:pPr>
            <w:r>
              <w:rPr>
                <w:sz w:val="24"/>
              </w:rPr>
              <w:t>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FLASH动画基础</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w:t>
            </w:r>
            <w:r>
              <w:rPr>
                <w:sz w:val="24"/>
              </w:rPr>
              <w:t>4</w:t>
            </w:r>
            <w:r>
              <w:rPr>
                <w:rFonts w:hint="eastAsia"/>
                <w:sz w:val="24"/>
              </w:rPr>
              <w:t>.</w:t>
            </w:r>
            <w:r>
              <w:rPr>
                <w:sz w:val="24"/>
              </w:rPr>
              <w:t>3-2014.6</w:t>
            </w:r>
          </w:p>
          <w:p>
            <w:pPr>
              <w:jc w:val="left"/>
              <w:rPr>
                <w:rFonts w:hint="eastAsia"/>
                <w:sz w:val="24"/>
              </w:rPr>
            </w:pPr>
            <w:r>
              <w:rPr>
                <w:rFonts w:hint="eastAsia"/>
                <w:sz w:val="24"/>
              </w:rPr>
              <w:t>201</w:t>
            </w:r>
            <w:r>
              <w:rPr>
                <w:sz w:val="24"/>
              </w:rPr>
              <w:t>5</w:t>
            </w:r>
            <w:r>
              <w:rPr>
                <w:rFonts w:hint="eastAsia"/>
                <w:sz w:val="24"/>
              </w:rPr>
              <w:t>.</w:t>
            </w:r>
            <w:r>
              <w:rPr>
                <w:sz w:val="24"/>
              </w:rPr>
              <w:t>9</w:t>
            </w:r>
            <w:r>
              <w:rPr>
                <w:rFonts w:hint="eastAsia"/>
                <w:sz w:val="24"/>
              </w:rPr>
              <w:t>-201</w:t>
            </w:r>
            <w:r>
              <w:rPr>
                <w:sz w:val="24"/>
              </w:rPr>
              <w:t>6.1</w:t>
            </w:r>
          </w:p>
          <w:p>
            <w:pPr>
              <w:jc w:val="left"/>
              <w:rPr>
                <w:rFonts w:hint="eastAsia"/>
                <w:sz w:val="24"/>
              </w:rPr>
            </w:pPr>
            <w:r>
              <w:rPr>
                <w:rFonts w:hint="eastAsia"/>
                <w:sz w:val="24"/>
              </w:rPr>
              <w:t>2016.</w:t>
            </w:r>
            <w:r>
              <w:rPr>
                <w:sz w:val="24"/>
              </w:rPr>
              <w:t>3-201</w:t>
            </w:r>
            <w:r>
              <w:rPr>
                <w:rFonts w:hint="eastAsia"/>
                <w:sz w:val="24"/>
              </w:rPr>
              <w:t>6</w:t>
            </w:r>
            <w:r>
              <w:rPr>
                <w:sz w:val="24"/>
              </w:rPr>
              <w:t>.6</w:t>
            </w:r>
          </w:p>
          <w:p>
            <w:pPr>
              <w:jc w:val="left"/>
              <w:rPr>
                <w:rFonts w:hint="eastAsia"/>
                <w:sz w:val="24"/>
              </w:rPr>
            </w:pPr>
            <w:r>
              <w:rPr>
                <w:rFonts w:hint="eastAsia"/>
                <w:sz w:val="24"/>
              </w:rPr>
              <w:t>2018.9-2019.1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259</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512</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FLASH动画制作</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必修课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w:t>
            </w:r>
            <w:r>
              <w:rPr>
                <w:sz w:val="24"/>
              </w:rPr>
              <w:t>4</w:t>
            </w:r>
            <w:r>
              <w:rPr>
                <w:rFonts w:hint="eastAsia"/>
                <w:sz w:val="24"/>
              </w:rPr>
              <w:t>.</w:t>
            </w:r>
            <w:r>
              <w:rPr>
                <w:sz w:val="24"/>
              </w:rPr>
              <w:t>3-2014.6</w:t>
            </w:r>
          </w:p>
          <w:p>
            <w:pPr>
              <w:jc w:val="left"/>
              <w:rPr>
                <w:sz w:val="24"/>
              </w:rPr>
            </w:pPr>
            <w:r>
              <w:rPr>
                <w:rFonts w:hint="eastAsia"/>
                <w:sz w:val="24"/>
              </w:rPr>
              <w:t>2014.9-201</w:t>
            </w:r>
            <w:r>
              <w:rPr>
                <w:sz w:val="24"/>
              </w:rPr>
              <w:t>5.1</w:t>
            </w:r>
          </w:p>
          <w:p>
            <w:pPr>
              <w:jc w:val="left"/>
              <w:rPr>
                <w:rFonts w:hint="eastAsia"/>
                <w:sz w:val="24"/>
              </w:rPr>
            </w:pPr>
            <w:r>
              <w:rPr>
                <w:rFonts w:hint="eastAsia"/>
                <w:sz w:val="24"/>
              </w:rPr>
              <w:t>201</w:t>
            </w:r>
            <w:r>
              <w:rPr>
                <w:sz w:val="24"/>
              </w:rPr>
              <w:t>5</w:t>
            </w:r>
            <w:r>
              <w:rPr>
                <w:rFonts w:hint="eastAsia"/>
                <w:sz w:val="24"/>
              </w:rPr>
              <w:t>.</w:t>
            </w:r>
            <w:r>
              <w:rPr>
                <w:sz w:val="24"/>
              </w:rPr>
              <w:t>3</w:t>
            </w:r>
            <w:r>
              <w:rPr>
                <w:rFonts w:hint="eastAsia"/>
                <w:sz w:val="24"/>
              </w:rPr>
              <w:t>-201</w:t>
            </w:r>
            <w:r>
              <w:rPr>
                <w:sz w:val="24"/>
              </w:rPr>
              <w:t>5.7</w:t>
            </w:r>
          </w:p>
          <w:p>
            <w:pPr>
              <w:jc w:val="left"/>
              <w:rPr>
                <w:rFonts w:hint="eastAsia"/>
                <w:sz w:val="24"/>
              </w:rPr>
            </w:pPr>
            <w:r>
              <w:rPr>
                <w:rFonts w:hint="eastAsia"/>
                <w:sz w:val="24"/>
              </w:rPr>
              <w:t>2016.</w:t>
            </w:r>
            <w:r>
              <w:rPr>
                <w:sz w:val="24"/>
              </w:rPr>
              <w:t>9</w:t>
            </w:r>
            <w:r>
              <w:rPr>
                <w:rFonts w:hint="eastAsia"/>
                <w:sz w:val="24"/>
              </w:rPr>
              <w:t>-2017</w:t>
            </w:r>
            <w:r>
              <w:rPr>
                <w:sz w:val="24"/>
              </w:rPr>
              <w:t>.1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238</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658</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FLASH</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2014.9-201</w:t>
            </w:r>
            <w:r>
              <w:rPr>
                <w:sz w:val="24"/>
              </w:rPr>
              <w:t>5.1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76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192</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FLASH动漫</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选修课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2014.9-201</w:t>
            </w:r>
            <w:r>
              <w:rPr>
                <w:sz w:val="24"/>
              </w:rPr>
              <w:t>5.1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31</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64</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动画短片制作</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w:t>
            </w:r>
            <w:r>
              <w:rPr>
                <w:sz w:val="24"/>
              </w:rPr>
              <w:t>4</w:t>
            </w:r>
            <w:r>
              <w:rPr>
                <w:rFonts w:hint="eastAsia"/>
                <w:sz w:val="24"/>
              </w:rPr>
              <w:t>.</w:t>
            </w:r>
            <w:r>
              <w:rPr>
                <w:sz w:val="24"/>
              </w:rPr>
              <w:t>3-2014.6</w:t>
            </w:r>
          </w:p>
          <w:p>
            <w:pPr>
              <w:jc w:val="left"/>
              <w:rPr>
                <w:rFonts w:hint="eastAsia"/>
                <w:sz w:val="24"/>
              </w:rPr>
            </w:pPr>
            <w:r>
              <w:rPr>
                <w:rFonts w:hint="eastAsia"/>
                <w:sz w:val="24"/>
              </w:rPr>
              <w:t>201</w:t>
            </w:r>
            <w:r>
              <w:rPr>
                <w:sz w:val="24"/>
              </w:rPr>
              <w:t>5</w:t>
            </w:r>
            <w:r>
              <w:rPr>
                <w:rFonts w:hint="eastAsia"/>
                <w:sz w:val="24"/>
              </w:rPr>
              <w:t>.</w:t>
            </w:r>
            <w:r>
              <w:rPr>
                <w:sz w:val="24"/>
              </w:rPr>
              <w:t>9</w:t>
            </w:r>
            <w:r>
              <w:rPr>
                <w:rFonts w:hint="eastAsia"/>
                <w:sz w:val="24"/>
              </w:rPr>
              <w:t>-201</w:t>
            </w:r>
            <w:r>
              <w:rPr>
                <w:sz w:val="24"/>
              </w:rPr>
              <w:t>6.1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65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128</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MV短片制作</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2014.9-201</w:t>
            </w:r>
            <w:r>
              <w:rPr>
                <w:sz w:val="24"/>
              </w:rPr>
              <w:t>5.1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23</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80</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短片制作</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w:t>
            </w:r>
            <w:r>
              <w:rPr>
                <w:sz w:val="24"/>
              </w:rPr>
              <w:t>3</w:t>
            </w:r>
            <w:r>
              <w:rPr>
                <w:rFonts w:hint="eastAsia"/>
                <w:sz w:val="24"/>
              </w:rPr>
              <w:t>.</w:t>
            </w:r>
            <w:r>
              <w:rPr>
                <w:sz w:val="24"/>
              </w:rPr>
              <w:t>10-2014.1</w:t>
            </w:r>
          </w:p>
          <w:p>
            <w:pPr>
              <w:jc w:val="left"/>
              <w:rPr>
                <w:rFonts w:hint="eastAsia"/>
                <w:sz w:val="24"/>
              </w:rPr>
            </w:pPr>
            <w:r>
              <w:rPr>
                <w:rFonts w:hint="eastAsia"/>
                <w:sz w:val="24"/>
              </w:rPr>
              <w:t>2018.9-2018.10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59</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160</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动画概论</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w:t>
            </w:r>
            <w:r>
              <w:rPr>
                <w:sz w:val="24"/>
              </w:rPr>
              <w:t>5</w:t>
            </w:r>
            <w:r>
              <w:rPr>
                <w:rFonts w:hint="eastAsia"/>
                <w:sz w:val="24"/>
              </w:rPr>
              <w:t>.</w:t>
            </w:r>
            <w:r>
              <w:rPr>
                <w:sz w:val="24"/>
              </w:rPr>
              <w:t>9</w:t>
            </w:r>
            <w:r>
              <w:rPr>
                <w:rFonts w:hint="eastAsia"/>
                <w:sz w:val="24"/>
              </w:rPr>
              <w:t>-201</w:t>
            </w:r>
            <w:r>
              <w:rPr>
                <w:sz w:val="24"/>
              </w:rPr>
              <w:t>6.1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35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32</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广告学概论</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w:t>
            </w:r>
            <w:r>
              <w:rPr>
                <w:sz w:val="24"/>
              </w:rPr>
              <w:t>5</w:t>
            </w:r>
            <w:r>
              <w:rPr>
                <w:rFonts w:hint="eastAsia"/>
                <w:sz w:val="24"/>
              </w:rPr>
              <w:t>.</w:t>
            </w:r>
            <w:r>
              <w:rPr>
                <w:sz w:val="24"/>
              </w:rPr>
              <w:t>9</w:t>
            </w:r>
            <w:r>
              <w:rPr>
                <w:rFonts w:hint="eastAsia"/>
                <w:sz w:val="24"/>
              </w:rPr>
              <w:t>-201</w:t>
            </w:r>
            <w:r>
              <w:rPr>
                <w:sz w:val="24"/>
              </w:rPr>
              <w:t>6.1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85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64</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综合实训与考证训练（广告设计师）</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2016.</w:t>
            </w:r>
            <w:r>
              <w:rPr>
                <w:sz w:val="24"/>
              </w:rPr>
              <w:t>3-201</w:t>
            </w:r>
            <w:r>
              <w:rPr>
                <w:rFonts w:hint="eastAsia"/>
                <w:sz w:val="24"/>
              </w:rPr>
              <w:t>6</w:t>
            </w:r>
            <w:r>
              <w:rPr>
                <w:sz w:val="24"/>
              </w:rPr>
              <w:t>.6</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120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60</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项目实训课</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2016.</w:t>
            </w:r>
            <w:r>
              <w:rPr>
                <w:sz w:val="24"/>
              </w:rPr>
              <w:t>3-201</w:t>
            </w:r>
            <w:r>
              <w:rPr>
                <w:rFonts w:hint="eastAsia"/>
                <w:sz w:val="24"/>
              </w:rPr>
              <w:t>6</w:t>
            </w:r>
            <w:r>
              <w:rPr>
                <w:sz w:val="24"/>
              </w:rPr>
              <w:t>.6</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40</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字体设计</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2016.</w:t>
            </w:r>
            <w:r>
              <w:rPr>
                <w:sz w:val="24"/>
              </w:rPr>
              <w:t>9</w:t>
            </w:r>
            <w:r>
              <w:rPr>
                <w:rFonts w:hint="eastAsia"/>
                <w:sz w:val="24"/>
              </w:rPr>
              <w:t>-2017</w:t>
            </w:r>
            <w:r>
              <w:rPr>
                <w:sz w:val="24"/>
              </w:rPr>
              <w:t>.1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120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96</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设计素描</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2017.10-2018.1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68</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128</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动画角色与场景设计</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r>
              <w:rPr>
                <w:rFonts w:hint="eastAsia"/>
                <w:sz w:val="24"/>
              </w:rPr>
              <w:t>2018.3-2018.7</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64</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网络广告设计与制作</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2018.3-2018.7</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85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64</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造型基础1</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2018.10-2018.11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34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48</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造型基础2</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专业课</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sz w:val="24"/>
              </w:rPr>
            </w:pPr>
            <w:r>
              <w:rPr>
                <w:rFonts w:hint="eastAsia"/>
                <w:sz w:val="24"/>
              </w:rPr>
              <w:t>2018.10-2018.11</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专科生</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34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48</w:t>
            </w: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left"/>
              <w:rPr>
                <w:sz w:val="24"/>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02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35" w:hRule="atLeast"/>
        </w:trPr>
        <w:tc>
          <w:tcPr>
            <w:tcW w:w="55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指导研究生及进修教师情况</w:t>
            </w:r>
          </w:p>
        </w:tc>
        <w:tc>
          <w:tcPr>
            <w:tcW w:w="8265" w:type="dxa"/>
            <w:gridSpan w:val="11"/>
            <w:tcBorders>
              <w:top w:val="single" w:color="auto" w:sz="4" w:space="0"/>
              <w:left w:val="single" w:color="auto" w:sz="4" w:space="0"/>
              <w:bottom w:val="single" w:color="auto" w:sz="4" w:space="0"/>
              <w:right w:val="single" w:color="auto" w:sz="4" w:space="0"/>
            </w:tcBorders>
            <w:vAlign w:val="center"/>
          </w:tcPr>
          <w:p>
            <w:pPr>
              <w:numPr>
                <w:ilvl w:val="0"/>
                <w:numId w:val="1"/>
              </w:numPr>
              <w:rPr>
                <w:rFonts w:hint="eastAsia"/>
                <w:sz w:val="24"/>
              </w:rPr>
            </w:pPr>
            <w:r>
              <w:rPr>
                <w:rFonts w:hint="eastAsia"/>
                <w:sz w:val="24"/>
              </w:rPr>
              <w:t>2014年-至今，每学期都承担1-2班级的学生导师。在专业上进行指导和教育，帮学生明确今后的方向和职业规划。</w:t>
            </w:r>
          </w:p>
          <w:p>
            <w:pPr>
              <w:numPr>
                <w:ilvl w:val="0"/>
                <w:numId w:val="1"/>
              </w:numPr>
              <w:rPr>
                <w:rFonts w:hint="eastAsia"/>
                <w:sz w:val="24"/>
              </w:rPr>
            </w:pPr>
            <w:r>
              <w:rPr>
                <w:rFonts w:hint="eastAsia"/>
                <w:sz w:val="24"/>
              </w:rPr>
              <w:t>2015.11被聘为新入职教师刘联杰的教学导师。</w:t>
            </w:r>
          </w:p>
          <w:p>
            <w:pPr>
              <w:ind w:left="360"/>
              <w:rPr>
                <w:rFonts w:hint="eastAsia"/>
                <w:sz w:val="24"/>
              </w:rPr>
            </w:pPr>
            <w:r>
              <w:rPr>
                <w:rFonts w:hint="eastAsia"/>
                <w:sz w:val="24"/>
              </w:rPr>
              <w:t>2018.9-2010.6被聘为新入职教师董浚的教学导师。</w:t>
            </w:r>
          </w:p>
          <w:p>
            <w:pPr>
              <w:ind w:left="359" w:leftChars="171" w:firstLine="480" w:firstLineChars="200"/>
              <w:rPr>
                <w:sz w:val="24"/>
              </w:rPr>
            </w:pPr>
            <w:r>
              <w:rPr>
                <w:rFonts w:hint="eastAsia"/>
                <w:sz w:val="24"/>
              </w:rPr>
              <w:t>在教学方法、教学内容、教 学模式、考试内容上进行大胆改革，帮助青年教师尽快成长起来，取得了较好的效果；每周一次召集本教研室的老师们进行技术交流，讨论、编写、修改教学大纲和实践教学大纲；定期检查教师的教学进度，了解教师的教学效果，及时提出建议，对教师进行全面考核；贯彻高等职业教育教学的理念，组织教师进行社会调查，根据社会需求，进行专业设置和改造，并进行专业建设和课程建设工作，在建设中形成自身的专业特色。</w:t>
            </w: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trPr>
        <w:tc>
          <w:tcPr>
            <w:tcW w:w="555"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承担的主要科研任务情况</w:t>
            </w: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项目名称</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经费</w:t>
            </w:r>
          </w:p>
          <w:p>
            <w:pPr>
              <w:pStyle w:val="3"/>
              <w:pBdr>
                <w:bottom w:val="none" w:color="auto" w:sz="0" w:space="0"/>
              </w:pBdr>
              <w:tabs>
                <w:tab w:val="left" w:pos="420"/>
              </w:tabs>
              <w:snapToGrid/>
            </w:pPr>
            <w:r>
              <w:t>（万元）</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起止时间</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本人职责</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rPr>
                <w:sz w:val="24"/>
              </w:rPr>
            </w:pPr>
            <w:r>
              <w:rPr>
                <w:sz w:val="24"/>
              </w:rPr>
              <w:t>项目来源</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鉴定单位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指导“201</w:t>
            </w:r>
            <w:r>
              <w:rPr>
                <w:sz w:val="24"/>
              </w:rPr>
              <w:t>4</w:t>
            </w:r>
            <w:r>
              <w:rPr>
                <w:rFonts w:hint="eastAsia"/>
                <w:sz w:val="24"/>
              </w:rPr>
              <w:t>江苏省大学生创新创业训练计划项目”</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0</w:t>
            </w:r>
            <w:r>
              <w:rPr>
                <w:rFonts w:hint="eastAsia"/>
                <w:sz w:val="24"/>
              </w:rPr>
              <w:t>.6</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w:t>
            </w:r>
            <w:r>
              <w:rPr>
                <w:sz w:val="24"/>
              </w:rPr>
              <w:t>4</w:t>
            </w:r>
            <w:r>
              <w:rPr>
                <w:rFonts w:hint="eastAsia"/>
                <w:sz w:val="24"/>
              </w:rPr>
              <w:t>年10月-</w:t>
            </w:r>
            <w:r>
              <w:rPr>
                <w:sz w:val="24"/>
              </w:rPr>
              <w:t>2015</w:t>
            </w:r>
            <w:r>
              <w:rPr>
                <w:rFonts w:hint="eastAsia"/>
                <w:sz w:val="24"/>
              </w:rPr>
              <w:t>年</w:t>
            </w:r>
            <w:r>
              <w:rPr>
                <w:sz w:val="24"/>
              </w:rPr>
              <w:t>5</w:t>
            </w:r>
            <w:r>
              <w:rPr>
                <w:rFonts w:hint="eastAsia"/>
                <w:sz w:val="24"/>
              </w:rPr>
              <w:t>月</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主要负责</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教学研究</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江苏省教育厅高教处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承担马来西亚委托制作的-201</w:t>
            </w:r>
            <w:r>
              <w:rPr>
                <w:sz w:val="24"/>
              </w:rPr>
              <w:t>4</w:t>
            </w:r>
            <w:r>
              <w:rPr>
                <w:rFonts w:hint="eastAsia"/>
                <w:sz w:val="24"/>
              </w:rPr>
              <w:t>年横向项目“新中小学生汉语考试（YCT）关键字笔顺动画制作”</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2</w:t>
            </w:r>
            <w:r>
              <w:rPr>
                <w:rFonts w:hint="eastAsia"/>
                <w:sz w:val="24"/>
              </w:rPr>
              <w:t>.0</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2014年10月-</w:t>
            </w:r>
            <w:r>
              <w:rPr>
                <w:sz w:val="24"/>
              </w:rPr>
              <w:t>2015</w:t>
            </w:r>
            <w:r>
              <w:rPr>
                <w:rFonts w:hint="eastAsia"/>
                <w:sz w:val="24"/>
              </w:rPr>
              <w:t>年10月</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主持</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企业</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苏州布莱顿软件技术有限公司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院级课题——“Flash软件在制作科普教育动画中的应用”</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0.4</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2014年10月-</w:t>
            </w:r>
            <w:r>
              <w:rPr>
                <w:sz w:val="24"/>
              </w:rPr>
              <w:t>2015</w:t>
            </w:r>
            <w:r>
              <w:rPr>
                <w:rFonts w:hint="eastAsia"/>
                <w:sz w:val="24"/>
              </w:rPr>
              <w:t>年10月</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主持</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教学研究</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苏州高博软件技术职业学院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院级重点课题——“新中小学生汉语考试（YCT）关键字笔顺动画制作”</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2014年10月-</w:t>
            </w:r>
            <w:r>
              <w:rPr>
                <w:sz w:val="24"/>
              </w:rPr>
              <w:t>2015</w:t>
            </w:r>
            <w:r>
              <w:rPr>
                <w:rFonts w:hint="eastAsia"/>
                <w:sz w:val="24"/>
              </w:rPr>
              <w:t>年10月</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主持</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横向项目</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苏州高博软件技术职业学院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苏州市级课题—苏州国家级非物质文化遗产传承技能大师工作室运行模式研究</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0.4</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2014年</w:t>
            </w:r>
            <w:r>
              <w:rPr>
                <w:sz w:val="24"/>
              </w:rPr>
              <w:t>7</w:t>
            </w:r>
            <w:r>
              <w:rPr>
                <w:rFonts w:hint="eastAsia"/>
                <w:sz w:val="24"/>
              </w:rPr>
              <w:t>月-</w:t>
            </w:r>
            <w:r>
              <w:rPr>
                <w:sz w:val="24"/>
              </w:rPr>
              <w:t>2015</w:t>
            </w:r>
            <w:r>
              <w:rPr>
                <w:rFonts w:hint="eastAsia"/>
                <w:sz w:val="24"/>
              </w:rPr>
              <w:t>年</w:t>
            </w:r>
            <w:r>
              <w:rPr>
                <w:sz w:val="24"/>
              </w:rPr>
              <w:t>9</w:t>
            </w:r>
            <w:r>
              <w:rPr>
                <w:rFonts w:hint="eastAsia"/>
                <w:sz w:val="24"/>
              </w:rPr>
              <w:t>月</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参与</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教学研究</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苏州市人力资源和社会保障局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rPr>
            </w:pPr>
          </w:p>
        </w:tc>
        <w:tc>
          <w:tcPr>
            <w:tcW w:w="1965"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160"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bl>
    <w:p>
      <w:r>
        <w:t>说明：（1）教学工作情况：“课程性质”指专业课、基础课、必修课、选修课等；“授课对象”指博士生、硕士生、本科生、专科生。（2）科研任务情况：“本人职责”指本人系主要负责，还是参加者，并注明排名顺序，不超过10项。</w:t>
      </w:r>
    </w:p>
    <w:p>
      <w:pPr>
        <w:rPr>
          <w:sz w:val="24"/>
        </w:rPr>
      </w:pPr>
    </w:p>
    <w:p>
      <w:pPr>
        <w:rPr>
          <w:sz w:val="24"/>
        </w:rPr>
      </w:pPr>
      <w:r>
        <w:rPr>
          <w:sz w:val="24"/>
        </w:rPr>
        <w:t xml:space="preserve">三、发表或出版的重要论文、论著情况（2014年以来，列名不超过10篇、部） </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340"/>
        <w:gridCol w:w="1260"/>
        <w:gridCol w:w="1800"/>
        <w:gridCol w:w="108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pPr>
            <w:r>
              <w:t>序号</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pPr>
            <w:r>
              <w:t>论文、专著名称</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pPr>
            <w:r>
              <w:t>年份</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pPr>
            <w:r>
              <w:t>学术期刊或</w:t>
            </w:r>
          </w:p>
          <w:p>
            <w:pPr>
              <w:jc w:val="center"/>
            </w:pPr>
            <w:r>
              <w:t>出版社名称</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pPr>
            <w:r>
              <w:t>卷</w:t>
            </w:r>
          </w:p>
          <w:p>
            <w:pPr>
              <w:widowControl/>
              <w:jc w:val="center"/>
            </w:pPr>
            <w:r>
              <w:t>（期）</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pPr>
            <w:r>
              <w:t>页</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pPr>
            <w:r>
              <w:t xml:space="preserve"> 作（著）者名次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1</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论文——FLASH软件在科普动画制作中的应用研究</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2015.11</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青年文学家</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1.5</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rFonts w:ascii="宋体"/>
                <w:spacing w:val="-4"/>
              </w:rPr>
            </w:pPr>
            <w:r>
              <w:rPr>
                <w:rFonts w:hint="eastAsia" w:ascii="宋体"/>
                <w:spacing w:val="-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论文——浅析移动互联网时代的影视动画发展趋势</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2015.11</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信息化建设</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1.5</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rFonts w:ascii="宋体"/>
                <w:spacing w:val="-4"/>
              </w:rPr>
            </w:pPr>
            <w:r>
              <w:rPr>
                <w:rFonts w:hint="eastAsia" w:ascii="宋体"/>
                <w:spacing w:val="-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3</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论文——刍议国产动画片《大圣归来》的成功之道</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2015.12</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山东社会科学（核心）</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rFonts w:ascii="宋体"/>
                <w:spacing w:val="-4"/>
              </w:rPr>
            </w:pPr>
            <w:r>
              <w:rPr>
                <w:rFonts w:hint="eastAsia" w:ascii="宋体"/>
                <w:spacing w:val="-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4</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论文《试析三维技术在二维动画影片中的应用》</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2016．11</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新闻研究导刊</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sz w:val="24"/>
                <w:szCs w:val="24"/>
              </w:rPr>
            </w:pPr>
            <w:r>
              <w:rPr>
                <w:rFonts w:hint="eastAsia"/>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5</w:t>
            </w:r>
          </w:p>
        </w:tc>
        <w:tc>
          <w:tcPr>
            <w:tcW w:w="2340" w:type="dxa"/>
            <w:tcBorders>
              <w:top w:val="single" w:color="auto" w:sz="4" w:space="0"/>
              <w:left w:val="single" w:color="auto" w:sz="4" w:space="0"/>
              <w:bottom w:val="single" w:color="auto" w:sz="4" w:space="0"/>
              <w:right w:val="single" w:color="auto" w:sz="4" w:space="0"/>
            </w:tcBorders>
            <w:vAlign w:val="center"/>
          </w:tcPr>
          <w:p>
            <w:pPr>
              <w:pStyle w:val="2"/>
              <w:ind w:firstLine="0"/>
              <w:rPr>
                <w:sz w:val="24"/>
                <w:szCs w:val="24"/>
              </w:rPr>
            </w:pPr>
            <w:r>
              <w:rPr>
                <w:rFonts w:hint="eastAsia"/>
                <w:sz w:val="24"/>
                <w:szCs w:val="24"/>
              </w:rPr>
              <w:t>论文《基于SPOC模式的网络课程开发与应用-以FLASH动画制作课程为例》</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2018.11</w:t>
            </w:r>
          </w:p>
        </w:tc>
        <w:tc>
          <w:tcPr>
            <w:tcW w:w="1800" w:type="dxa"/>
            <w:tcBorders>
              <w:top w:val="single" w:color="auto" w:sz="4" w:space="0"/>
              <w:left w:val="single" w:color="auto" w:sz="4" w:space="0"/>
              <w:bottom w:val="single" w:color="auto" w:sz="4" w:space="0"/>
              <w:right w:val="single" w:color="auto" w:sz="4" w:space="0"/>
            </w:tcBorders>
            <w:vAlign w:val="center"/>
          </w:tcPr>
          <w:p>
            <w:pPr>
              <w:pStyle w:val="2"/>
              <w:rPr>
                <w:sz w:val="24"/>
                <w:szCs w:val="24"/>
              </w:rPr>
            </w:pPr>
            <w:r>
              <w:rPr>
                <w:rFonts w:hint="eastAsia"/>
                <w:sz w:val="24"/>
                <w:szCs w:val="24"/>
              </w:rPr>
              <w:t>大观</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sz w:val="24"/>
                <w:szCs w:val="24"/>
              </w:rPr>
            </w:pPr>
            <w:r>
              <w:rPr>
                <w:rFonts w:hint="eastAsia"/>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6</w:t>
            </w:r>
          </w:p>
        </w:tc>
        <w:tc>
          <w:tcPr>
            <w:tcW w:w="2340" w:type="dxa"/>
            <w:tcBorders>
              <w:top w:val="single" w:color="auto" w:sz="4" w:space="0"/>
              <w:left w:val="single" w:color="auto" w:sz="4" w:space="0"/>
              <w:bottom w:val="single" w:color="auto" w:sz="4" w:space="0"/>
              <w:right w:val="single" w:color="auto" w:sz="4" w:space="0"/>
            </w:tcBorders>
            <w:vAlign w:val="center"/>
          </w:tcPr>
          <w:p>
            <w:pPr>
              <w:pStyle w:val="2"/>
              <w:ind w:firstLine="0"/>
              <w:rPr>
                <w:sz w:val="24"/>
                <w:szCs w:val="24"/>
              </w:rPr>
            </w:pPr>
            <w:r>
              <w:rPr>
                <w:rFonts w:hint="eastAsia"/>
                <w:sz w:val="24"/>
                <w:szCs w:val="24"/>
              </w:rPr>
              <w:t>论文《艺术类在线开放课程建设与研究》</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2018.11</w:t>
            </w:r>
          </w:p>
        </w:tc>
        <w:tc>
          <w:tcPr>
            <w:tcW w:w="1800" w:type="dxa"/>
            <w:tcBorders>
              <w:top w:val="single" w:color="auto" w:sz="4" w:space="0"/>
              <w:left w:val="single" w:color="auto" w:sz="4" w:space="0"/>
              <w:bottom w:val="single" w:color="auto" w:sz="4" w:space="0"/>
              <w:right w:val="single" w:color="auto" w:sz="4" w:space="0"/>
            </w:tcBorders>
            <w:vAlign w:val="center"/>
          </w:tcPr>
          <w:p>
            <w:pPr>
              <w:pStyle w:val="2"/>
              <w:rPr>
                <w:sz w:val="24"/>
                <w:szCs w:val="24"/>
              </w:rPr>
            </w:pPr>
            <w:r>
              <w:rPr>
                <w:rFonts w:hint="eastAsia"/>
                <w:sz w:val="24"/>
                <w:szCs w:val="24"/>
              </w:rPr>
              <w:t>艺术品鉴</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jc w:val="left"/>
              <w:rPr>
                <w:rFonts w:hint="eastAsia"/>
                <w:sz w:val="24"/>
                <w:szCs w:val="24"/>
              </w:rPr>
            </w:pPr>
            <w:r>
              <w:rPr>
                <w:rFonts w:hint="eastAsia"/>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7</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教材——《Affer</w:t>
            </w:r>
            <w:r>
              <w:rPr>
                <w:sz w:val="24"/>
              </w:rPr>
              <w:t xml:space="preserve"> E</w:t>
            </w:r>
            <w:r>
              <w:rPr>
                <w:rFonts w:hint="eastAsia"/>
                <w:sz w:val="24"/>
              </w:rPr>
              <w:t>ffects影视特效制作》</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2015.11</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上海交通大学出版社</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5万字</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第二副主编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8</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《Flash动画基础与实训教程》</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2016.6</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北京工业大学出版社</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5.4万</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副主编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9</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《Flash CS6动画设计案例教程》</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2016.6</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武汉大学出版社</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8万</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第一副主编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10</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《动画运动规律》</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2016.12</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安徽美术出版社</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8万</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第三主编</w:t>
            </w:r>
          </w:p>
        </w:tc>
      </w:tr>
    </w:tbl>
    <w:p>
      <w:pPr>
        <w:rPr>
          <w:bCs/>
          <w:sz w:val="24"/>
          <w:szCs w:val="28"/>
        </w:rPr>
      </w:pPr>
    </w:p>
    <w:p>
      <w:pPr>
        <w:rPr>
          <w:sz w:val="24"/>
          <w:szCs w:val="30"/>
        </w:rPr>
      </w:pPr>
      <w:r>
        <w:rPr>
          <w:bCs/>
          <w:sz w:val="24"/>
          <w:szCs w:val="28"/>
        </w:rPr>
        <w:t>四、授权发明专利及转让情况</w:t>
      </w:r>
      <w:r>
        <w:rPr>
          <w:sz w:val="24"/>
        </w:rPr>
        <w:t>（2014年以来）</w:t>
      </w:r>
    </w:p>
    <w:tbl>
      <w:tblPr>
        <w:tblStyle w:val="6"/>
        <w:tblW w:w="8578" w:type="dxa"/>
        <w:jc w:val="center"/>
        <w:tblInd w:w="27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546"/>
        <w:gridCol w:w="1843"/>
        <w:gridCol w:w="850"/>
        <w:gridCol w:w="1134"/>
        <w:gridCol w:w="1134"/>
        <w:gridCol w:w="10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97" w:hRule="exact"/>
          <w:jc w:val="center"/>
        </w:trPr>
        <w:tc>
          <w:tcPr>
            <w:tcW w:w="2546"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专利名称</w:t>
            </w:r>
          </w:p>
        </w:tc>
        <w:tc>
          <w:tcPr>
            <w:tcW w:w="1843"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授权专利号</w:t>
            </w:r>
          </w:p>
        </w:tc>
        <w:tc>
          <w:tcPr>
            <w:tcW w:w="850"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年份</w:t>
            </w:r>
          </w:p>
        </w:tc>
        <w:tc>
          <w:tcPr>
            <w:tcW w:w="1134"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授权国家或地区</w:t>
            </w:r>
          </w:p>
        </w:tc>
        <w:tc>
          <w:tcPr>
            <w:tcW w:w="1134"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本人名次</w:t>
            </w:r>
          </w:p>
        </w:tc>
        <w:tc>
          <w:tcPr>
            <w:tcW w:w="1071" w:type="dxa"/>
            <w:tcBorders>
              <w:top w:val="single" w:color="auto" w:sz="6" w:space="0"/>
              <w:left w:val="single" w:color="auto" w:sz="6" w:space="0"/>
              <w:bottom w:val="single" w:color="auto" w:sz="6" w:space="0"/>
              <w:right w:val="single" w:color="auto" w:sz="6" w:space="0"/>
            </w:tcBorders>
          </w:tcPr>
          <w:p>
            <w:pPr>
              <w:spacing w:line="400" w:lineRule="exact"/>
              <w:jc w:val="center"/>
              <w:rPr>
                <w:sz w:val="24"/>
              </w:rPr>
            </w:pPr>
            <w:r>
              <w:rPr>
                <w:sz w:val="24"/>
              </w:rPr>
              <w:t>经济效益</w:t>
            </w:r>
            <w:r>
              <w:rPr>
                <w:szCs w:val="21"/>
              </w:rPr>
              <w:t>（万元）</w:t>
            </w:r>
            <w:r>
              <w:rPr>
                <w:sz w:val="24"/>
              </w:rPr>
              <w:t>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31" w:hRule="exact"/>
          <w:jc w:val="center"/>
        </w:trPr>
        <w:tc>
          <w:tcPr>
            <w:tcW w:w="2546" w:type="dxa"/>
            <w:tcBorders>
              <w:top w:val="single" w:color="auto" w:sz="6" w:space="0"/>
              <w:left w:val="single" w:color="auto" w:sz="6" w:space="0"/>
              <w:bottom w:val="single" w:color="auto" w:sz="6" w:space="0"/>
              <w:right w:val="single" w:color="auto" w:sz="6" w:space="0"/>
            </w:tcBorders>
          </w:tcPr>
          <w:p>
            <w:pPr>
              <w:jc w:val="left"/>
              <w:rPr>
                <w:sz w:val="24"/>
              </w:rPr>
            </w:pPr>
            <w:r>
              <w:rPr>
                <w:rFonts w:hint="eastAsia"/>
                <w:sz w:val="24"/>
              </w:rPr>
              <w:t>一种虚拟成像动态演示系统</w:t>
            </w:r>
          </w:p>
          <w:p>
            <w:pPr>
              <w:spacing w:line="500" w:lineRule="atLeast"/>
              <w:rPr>
                <w:rFonts w:hint="eastAsia" w:ascii="宋体" w:hAnsi="宋体"/>
              </w:rPr>
            </w:pPr>
          </w:p>
        </w:tc>
        <w:tc>
          <w:tcPr>
            <w:tcW w:w="1843" w:type="dxa"/>
            <w:tcBorders>
              <w:top w:val="single" w:color="auto" w:sz="6" w:space="0"/>
              <w:left w:val="single" w:color="auto" w:sz="6" w:space="0"/>
              <w:bottom w:val="single" w:color="auto" w:sz="6" w:space="0"/>
              <w:right w:val="single" w:color="auto" w:sz="6" w:space="0"/>
            </w:tcBorders>
          </w:tcPr>
          <w:p>
            <w:pPr>
              <w:spacing w:line="500" w:lineRule="atLeast"/>
              <w:jc w:val="center"/>
              <w:rPr>
                <w:rFonts w:ascii="宋体" w:hAnsi="宋体"/>
              </w:rPr>
            </w:pPr>
            <w:r>
              <w:rPr>
                <w:rFonts w:hint="eastAsia"/>
                <w:sz w:val="24"/>
              </w:rPr>
              <w:t>2</w:t>
            </w:r>
            <w:r>
              <w:rPr>
                <w:sz w:val="24"/>
              </w:rPr>
              <w:t>01521096120.2</w:t>
            </w:r>
          </w:p>
        </w:tc>
        <w:tc>
          <w:tcPr>
            <w:tcW w:w="850" w:type="dxa"/>
            <w:tcBorders>
              <w:top w:val="single" w:color="auto" w:sz="6" w:space="0"/>
              <w:left w:val="single" w:color="auto" w:sz="6" w:space="0"/>
              <w:bottom w:val="single" w:color="auto" w:sz="6" w:space="0"/>
              <w:right w:val="single" w:color="auto" w:sz="6" w:space="0"/>
            </w:tcBorders>
          </w:tcPr>
          <w:p>
            <w:pPr>
              <w:spacing w:line="500" w:lineRule="atLeast"/>
              <w:jc w:val="center"/>
              <w:rPr>
                <w:rFonts w:ascii="宋体" w:hAnsi="宋体"/>
              </w:rPr>
            </w:pPr>
            <w:r>
              <w:rPr>
                <w:rFonts w:hint="eastAsia" w:ascii="宋体" w:hAnsi="宋体"/>
              </w:rPr>
              <w:t>2015</w:t>
            </w:r>
          </w:p>
        </w:tc>
        <w:tc>
          <w:tcPr>
            <w:tcW w:w="1134" w:type="dxa"/>
            <w:tcBorders>
              <w:top w:val="single" w:color="auto" w:sz="6" w:space="0"/>
              <w:left w:val="single" w:color="auto" w:sz="6" w:space="0"/>
              <w:bottom w:val="single" w:color="auto" w:sz="6" w:space="0"/>
              <w:right w:val="single" w:color="auto" w:sz="6" w:space="0"/>
            </w:tcBorders>
          </w:tcPr>
          <w:p>
            <w:pPr>
              <w:spacing w:line="500" w:lineRule="atLeast"/>
              <w:jc w:val="center"/>
              <w:rPr>
                <w:rFonts w:ascii="宋体" w:hAnsi="宋体"/>
              </w:rPr>
            </w:pPr>
            <w:r>
              <w:rPr>
                <w:rFonts w:hint="eastAsia" w:ascii="宋体" w:hAnsi="宋体"/>
              </w:rPr>
              <w:t>中国</w:t>
            </w:r>
          </w:p>
        </w:tc>
        <w:tc>
          <w:tcPr>
            <w:tcW w:w="1134" w:type="dxa"/>
            <w:tcBorders>
              <w:top w:val="single" w:color="auto" w:sz="6" w:space="0"/>
              <w:left w:val="single" w:color="auto" w:sz="6" w:space="0"/>
              <w:bottom w:val="single" w:color="auto" w:sz="6" w:space="0"/>
              <w:right w:val="single" w:color="auto" w:sz="6" w:space="0"/>
            </w:tcBorders>
          </w:tcPr>
          <w:p>
            <w:pPr>
              <w:spacing w:line="500" w:lineRule="atLeast"/>
              <w:jc w:val="center"/>
              <w:rPr>
                <w:rFonts w:hint="eastAsia" w:ascii="宋体" w:hAnsi="宋体"/>
              </w:rPr>
            </w:pPr>
            <w:r>
              <w:rPr>
                <w:rFonts w:hint="eastAsia" w:ascii="宋体" w:hAnsi="宋体"/>
              </w:rPr>
              <w:t>第一</w:t>
            </w:r>
          </w:p>
        </w:tc>
        <w:tc>
          <w:tcPr>
            <w:tcW w:w="1071" w:type="dxa"/>
            <w:tcBorders>
              <w:top w:val="single" w:color="auto" w:sz="6" w:space="0"/>
              <w:left w:val="single" w:color="auto" w:sz="6" w:space="0"/>
              <w:bottom w:val="single" w:color="auto" w:sz="6" w:space="0"/>
              <w:right w:val="single" w:color="auto" w:sz="6" w:space="0"/>
            </w:tcBorders>
          </w:tcPr>
          <w:p>
            <w:pPr>
              <w:spacing w:line="500" w:lineRule="atLeast"/>
              <w:jc w:val="center"/>
              <w:rPr>
                <w:rFonts w:hint="eastAsia"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839" w:hRule="exact"/>
          <w:jc w:val="center"/>
        </w:trPr>
        <w:tc>
          <w:tcPr>
            <w:tcW w:w="2546" w:type="dxa"/>
            <w:tcBorders>
              <w:top w:val="single" w:color="auto" w:sz="6" w:space="0"/>
              <w:left w:val="single" w:color="auto" w:sz="6" w:space="0"/>
              <w:bottom w:val="single" w:color="auto" w:sz="6" w:space="0"/>
              <w:right w:val="single" w:color="auto" w:sz="6" w:space="0"/>
            </w:tcBorders>
            <w:vAlign w:val="center"/>
          </w:tcPr>
          <w:p>
            <w:pPr>
              <w:jc w:val="left"/>
              <w:rPr>
                <w:sz w:val="24"/>
              </w:rPr>
            </w:pPr>
            <w:r>
              <w:rPr>
                <w:rFonts w:hint="eastAsia"/>
                <w:sz w:val="24"/>
              </w:rPr>
              <w:t>一种用于手机客户端查询的教学查询装置</w:t>
            </w:r>
          </w:p>
        </w:tc>
        <w:tc>
          <w:tcPr>
            <w:tcW w:w="1843" w:type="dxa"/>
            <w:tcBorders>
              <w:top w:val="single" w:color="auto" w:sz="6" w:space="0"/>
              <w:left w:val="single" w:color="auto" w:sz="6" w:space="0"/>
              <w:bottom w:val="single" w:color="auto" w:sz="6" w:space="0"/>
              <w:right w:val="single" w:color="auto" w:sz="6" w:space="0"/>
            </w:tcBorders>
          </w:tcPr>
          <w:p>
            <w:pPr>
              <w:spacing w:line="500" w:lineRule="atLeast"/>
              <w:jc w:val="center"/>
              <w:rPr>
                <w:sz w:val="24"/>
              </w:rPr>
            </w:pPr>
            <w:r>
              <w:rPr>
                <w:rFonts w:hint="eastAsia"/>
                <w:sz w:val="24"/>
              </w:rPr>
              <w:t>2015</w:t>
            </w:r>
            <w:r>
              <w:rPr>
                <w:sz w:val="24"/>
              </w:rPr>
              <w:t>21096118.5</w:t>
            </w:r>
          </w:p>
        </w:tc>
        <w:tc>
          <w:tcPr>
            <w:tcW w:w="850"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rPr>
                <w:rFonts w:ascii="宋体" w:hAnsi="宋体"/>
              </w:rPr>
            </w:pPr>
            <w:r>
              <w:rPr>
                <w:rFonts w:hint="eastAsia" w:ascii="宋体" w:hAnsi="宋体"/>
              </w:rPr>
              <w:t>2015</w:t>
            </w:r>
          </w:p>
        </w:tc>
        <w:tc>
          <w:tcPr>
            <w:tcW w:w="1134"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rPr>
                <w:rFonts w:ascii="宋体" w:hAnsi="宋体"/>
              </w:rPr>
            </w:pPr>
            <w:r>
              <w:rPr>
                <w:rFonts w:hint="eastAsia" w:ascii="宋体" w:hAnsi="宋体"/>
              </w:rPr>
              <w:t>中国</w:t>
            </w:r>
          </w:p>
        </w:tc>
        <w:tc>
          <w:tcPr>
            <w:tcW w:w="1134"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rPr>
                <w:rFonts w:hint="eastAsia" w:ascii="宋体" w:hAnsi="宋体"/>
              </w:rPr>
            </w:pPr>
            <w:r>
              <w:rPr>
                <w:rFonts w:hint="eastAsia" w:ascii="宋体" w:hAnsi="宋体"/>
              </w:rPr>
              <w:t>第二</w:t>
            </w:r>
          </w:p>
        </w:tc>
        <w:tc>
          <w:tcPr>
            <w:tcW w:w="1071" w:type="dxa"/>
            <w:tcBorders>
              <w:top w:val="single" w:color="auto" w:sz="6" w:space="0"/>
              <w:left w:val="single" w:color="auto" w:sz="6" w:space="0"/>
              <w:bottom w:val="single" w:color="auto" w:sz="6" w:space="0"/>
              <w:right w:val="single" w:color="auto" w:sz="6" w:space="0"/>
            </w:tcBorders>
          </w:tcPr>
          <w:p>
            <w:pPr>
              <w:spacing w:line="500" w:lineRule="atLeast"/>
              <w:jc w:val="center"/>
              <w:rPr>
                <w:rFonts w:hint="eastAsia"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exact"/>
          <w:jc w:val="center"/>
        </w:trPr>
        <w:tc>
          <w:tcPr>
            <w:tcW w:w="2546" w:type="dxa"/>
            <w:tcBorders>
              <w:top w:val="single" w:color="auto" w:sz="6" w:space="0"/>
              <w:left w:val="single" w:color="auto" w:sz="6" w:space="0"/>
              <w:bottom w:val="single" w:color="auto" w:sz="6" w:space="0"/>
              <w:right w:val="single" w:color="auto" w:sz="6" w:space="0"/>
            </w:tcBorders>
            <w:vAlign w:val="center"/>
          </w:tcPr>
          <w:p>
            <w:pPr>
              <w:spacing w:line="120" w:lineRule="atLeast"/>
              <w:jc w:val="center"/>
            </w:pPr>
          </w:p>
        </w:tc>
        <w:tc>
          <w:tcPr>
            <w:tcW w:w="1843"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850"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500" w:lineRule="atLeast"/>
              <w:jc w:val="center"/>
            </w:pPr>
          </w:p>
        </w:tc>
        <w:tc>
          <w:tcPr>
            <w:tcW w:w="1071" w:type="dxa"/>
            <w:tcBorders>
              <w:top w:val="single" w:color="auto" w:sz="6" w:space="0"/>
              <w:left w:val="single" w:color="auto" w:sz="6" w:space="0"/>
              <w:bottom w:val="single" w:color="auto" w:sz="6" w:space="0"/>
              <w:right w:val="single" w:color="auto" w:sz="6" w:space="0"/>
            </w:tcBorders>
          </w:tcPr>
          <w:p>
            <w:pPr>
              <w:spacing w:line="500" w:lineRule="atLeast"/>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exact"/>
          <w:jc w:val="center"/>
        </w:trPr>
        <w:tc>
          <w:tcPr>
            <w:tcW w:w="2546"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1843"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850"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1134"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1134" w:type="dxa"/>
            <w:tcBorders>
              <w:top w:val="single" w:color="auto" w:sz="6" w:space="0"/>
              <w:left w:val="single" w:color="auto" w:sz="6" w:space="0"/>
              <w:bottom w:val="single" w:color="auto" w:sz="6" w:space="0"/>
              <w:right w:val="single" w:color="auto" w:sz="6" w:space="0"/>
            </w:tcBorders>
          </w:tcPr>
          <w:p>
            <w:pPr>
              <w:spacing w:line="500" w:lineRule="atLeast"/>
              <w:jc w:val="center"/>
            </w:pPr>
          </w:p>
        </w:tc>
        <w:tc>
          <w:tcPr>
            <w:tcW w:w="1071" w:type="dxa"/>
            <w:tcBorders>
              <w:top w:val="single" w:color="auto" w:sz="6" w:space="0"/>
              <w:left w:val="single" w:color="auto" w:sz="6" w:space="0"/>
              <w:bottom w:val="single" w:color="auto" w:sz="6" w:space="0"/>
              <w:right w:val="single" w:color="auto" w:sz="6" w:space="0"/>
            </w:tcBorders>
          </w:tcPr>
          <w:p>
            <w:pPr>
              <w:spacing w:line="500" w:lineRule="atLeast"/>
              <w:jc w:val="center"/>
            </w:pPr>
          </w:p>
        </w:tc>
      </w:tr>
    </w:tbl>
    <w:p>
      <w:pPr>
        <w:spacing w:line="240" w:lineRule="exact"/>
        <w:rPr>
          <w:sz w:val="30"/>
          <w:szCs w:val="30"/>
        </w:rPr>
      </w:pPr>
    </w:p>
    <w:p>
      <w:pPr>
        <w:spacing w:line="360" w:lineRule="exact"/>
        <w:rPr>
          <w:sz w:val="24"/>
          <w:szCs w:val="28"/>
        </w:rPr>
      </w:pPr>
      <w:r>
        <w:rPr>
          <w:bCs/>
          <w:sz w:val="24"/>
          <w:szCs w:val="28"/>
        </w:rPr>
        <w:t>五、教学、科研获奖情况</w:t>
      </w:r>
      <w:r>
        <w:rPr>
          <w:sz w:val="24"/>
        </w:rPr>
        <w:t>（2014年以来）</w:t>
      </w:r>
    </w:p>
    <w:tbl>
      <w:tblPr>
        <w:tblStyle w:val="6"/>
        <w:tblW w:w="887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713"/>
        <w:gridCol w:w="1800"/>
        <w:gridCol w:w="2160"/>
        <w:gridCol w:w="1080"/>
        <w:gridCol w:w="11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97" w:hRule="exact"/>
          <w:jc w:val="center"/>
        </w:trPr>
        <w:tc>
          <w:tcPr>
            <w:tcW w:w="2713"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sz w:val="24"/>
              </w:rPr>
              <w:t>获奖项目名称</w:t>
            </w:r>
          </w:p>
        </w:tc>
        <w:tc>
          <w:tcPr>
            <w:tcW w:w="1800"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sz w:val="24"/>
              </w:rPr>
              <w:t xml:space="preserve"> 奖励类别</w:t>
            </w:r>
            <w:r>
              <w:rPr>
                <w:sz w:val="24"/>
                <w:szCs w:val="21"/>
              </w:rPr>
              <w:t>、等级</w:t>
            </w:r>
          </w:p>
        </w:tc>
        <w:tc>
          <w:tcPr>
            <w:tcW w:w="2160"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sz w:val="24"/>
              </w:rPr>
              <w:t>授予单位</w:t>
            </w:r>
          </w:p>
        </w:tc>
        <w:tc>
          <w:tcPr>
            <w:tcW w:w="1080"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sz w:val="24"/>
              </w:rPr>
              <w:t>获奖时间</w:t>
            </w:r>
          </w:p>
        </w:tc>
        <w:tc>
          <w:tcPr>
            <w:tcW w:w="1125"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sz w:val="24"/>
              </w:rPr>
              <w:t>本人排名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853"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指导“江苏省大学生创新创业训练计划项目”</w:t>
            </w:r>
          </w:p>
        </w:tc>
        <w:tc>
          <w:tcPr>
            <w:tcW w:w="1800" w:type="dxa"/>
            <w:tcBorders>
              <w:top w:val="single" w:color="auto" w:sz="6" w:space="0"/>
              <w:left w:val="single" w:color="auto" w:sz="6" w:space="0"/>
              <w:bottom w:val="single" w:color="auto" w:sz="6" w:space="0"/>
              <w:right w:val="single" w:color="auto" w:sz="6" w:space="0"/>
            </w:tcBorders>
          </w:tcPr>
          <w:p>
            <w:pPr>
              <w:spacing w:line="400" w:lineRule="atLeast"/>
              <w:jc w:val="center"/>
              <w:rPr>
                <w:sz w:val="24"/>
              </w:rPr>
            </w:pPr>
            <w:r>
              <w:rPr>
                <w:rFonts w:hint="eastAsia"/>
                <w:sz w:val="24"/>
              </w:rPr>
              <w:t>省级</w:t>
            </w:r>
          </w:p>
        </w:tc>
        <w:tc>
          <w:tcPr>
            <w:tcW w:w="216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江苏省教育厅高教处</w:t>
            </w:r>
          </w:p>
        </w:tc>
        <w:tc>
          <w:tcPr>
            <w:tcW w:w="1080" w:type="dxa"/>
            <w:tcBorders>
              <w:top w:val="single" w:color="auto" w:sz="6" w:space="0"/>
              <w:left w:val="single" w:color="auto" w:sz="6" w:space="0"/>
              <w:bottom w:val="single" w:color="auto" w:sz="6" w:space="0"/>
              <w:right w:val="single" w:color="auto" w:sz="6" w:space="0"/>
            </w:tcBorders>
          </w:tcPr>
          <w:p>
            <w:pPr>
              <w:spacing w:line="400" w:lineRule="atLeast"/>
              <w:rPr>
                <w:rFonts w:hint="eastAsia"/>
                <w:sz w:val="24"/>
              </w:rPr>
            </w:pPr>
            <w:r>
              <w:rPr>
                <w:rFonts w:hint="eastAsia"/>
                <w:sz w:val="24"/>
              </w:rPr>
              <w:t>201</w:t>
            </w:r>
            <w:r>
              <w:rPr>
                <w:sz w:val="24"/>
              </w:rPr>
              <w:t>5</w:t>
            </w:r>
            <w:r>
              <w:rPr>
                <w:rFonts w:hint="eastAsia"/>
                <w:sz w:val="24"/>
              </w:rPr>
              <w:t>年</w:t>
            </w:r>
            <w:r>
              <w:rPr>
                <w:sz w:val="24"/>
              </w:rPr>
              <w:t>5</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274"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参加“2014年度江苏省教师现代教育技术应用作品大赛”</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省级、 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江苏省教育科学研究院；</w:t>
            </w:r>
          </w:p>
          <w:p>
            <w:pPr>
              <w:rPr>
                <w:rFonts w:hint="eastAsia"/>
                <w:sz w:val="24"/>
              </w:rPr>
            </w:pPr>
            <w:r>
              <w:rPr>
                <w:rFonts w:hint="eastAsia"/>
                <w:sz w:val="24"/>
              </w:rPr>
              <w:t>现代教育技术研究所</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2014年</w:t>
            </w:r>
            <w:r>
              <w:rPr>
                <w:sz w:val="24"/>
              </w:rPr>
              <w:t>5</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81"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荣获“第二届全国高校数字艺术作品大赛”</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、教师组</w:t>
            </w:r>
          </w:p>
          <w:p>
            <w:pPr>
              <w:jc w:val="center"/>
              <w:rPr>
                <w:sz w:val="24"/>
              </w:rPr>
            </w:pPr>
            <w:r>
              <w:rPr>
                <w:rFonts w:hint="eastAsia"/>
                <w:sz w:val="24"/>
              </w:rPr>
              <w:t>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工业和信息化部人才交流中心</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2014年</w:t>
            </w:r>
            <w:r>
              <w:rPr>
                <w:sz w:val="24"/>
              </w:rPr>
              <w:t>8</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81"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指导学生荣获“第二届全国高校数字艺术作品大赛”</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、学生组</w:t>
            </w:r>
          </w:p>
          <w:p>
            <w:pPr>
              <w:jc w:val="center"/>
              <w:rPr>
                <w:sz w:val="24"/>
              </w:rPr>
            </w:pPr>
            <w:r>
              <w:rPr>
                <w:rFonts w:hint="eastAsia"/>
                <w:sz w:val="24"/>
              </w:rPr>
              <w:t>三等奖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工业和信息化部人才交流中心</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2014年</w:t>
            </w:r>
            <w:r>
              <w:rPr>
                <w:sz w:val="24"/>
              </w:rPr>
              <w:t>8</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5"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荣获“绚丽年华第六届美育成果展”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、教师组</w:t>
            </w:r>
          </w:p>
          <w:p>
            <w:pPr>
              <w:jc w:val="center"/>
              <w:rPr>
                <w:sz w:val="24"/>
              </w:rPr>
            </w:pPr>
            <w:r>
              <w:rPr>
                <w:rFonts w:hint="eastAsia"/>
                <w:sz w:val="24"/>
              </w:rPr>
              <w:t>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中国高等教育学会美育专业委员会；</w:t>
            </w:r>
          </w:p>
          <w:p>
            <w:pPr>
              <w:rPr>
                <w:sz w:val="24"/>
              </w:rPr>
            </w:pPr>
            <w:r>
              <w:rPr>
                <w:rFonts w:hint="eastAsia"/>
                <w:sz w:val="24"/>
              </w:rPr>
              <w:t>全国十二五教育部规划课题美育专项课题组；</w:t>
            </w:r>
          </w:p>
          <w:p>
            <w:pPr>
              <w:rPr>
                <w:rFonts w:hint="eastAsia"/>
                <w:sz w:val="24"/>
              </w:rPr>
            </w:pP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w:t>
            </w:r>
            <w:r>
              <w:rPr>
                <w:sz w:val="24"/>
              </w:rPr>
              <w:t>4</w:t>
            </w:r>
            <w:r>
              <w:rPr>
                <w:rFonts w:hint="eastAsia"/>
                <w:sz w:val="24"/>
              </w:rPr>
              <w:t>年</w:t>
            </w:r>
            <w:r>
              <w:rPr>
                <w:sz w:val="24"/>
              </w:rPr>
              <w:t>3</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81"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参加“第五届中国高校美术作品学年展”</w:t>
            </w:r>
            <w:r>
              <w:rPr>
                <w:sz w:val="24"/>
              </w:rPr>
              <w:t xml:space="preserve"> </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、优秀指导教师</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中国美术研究院；</w:t>
            </w:r>
          </w:p>
          <w:p>
            <w:pPr>
              <w:rPr>
                <w:sz w:val="24"/>
              </w:rPr>
            </w:pPr>
            <w:r>
              <w:rPr>
                <w:rFonts w:hint="eastAsia"/>
                <w:sz w:val="24"/>
              </w:rPr>
              <w:t>中国设计师协会；</w:t>
            </w:r>
          </w:p>
          <w:p>
            <w:pPr>
              <w:rPr>
                <w:rFonts w:hint="eastAsia"/>
                <w:sz w:val="24"/>
              </w:rPr>
            </w:pPr>
            <w:r>
              <w:rPr>
                <w:rFonts w:hint="eastAsia"/>
                <w:sz w:val="24"/>
              </w:rPr>
              <w:t>成都蓉城美术馆</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2014年3月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575"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参加“绚丽年华第六届美育成果展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国家级、优秀指导教师”奖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中国高等教育学会美育专业委员会；</w:t>
            </w:r>
          </w:p>
          <w:p>
            <w:pPr>
              <w:rPr>
                <w:sz w:val="24"/>
              </w:rPr>
            </w:pPr>
            <w:r>
              <w:rPr>
                <w:rFonts w:hint="eastAsia"/>
                <w:sz w:val="24"/>
              </w:rPr>
              <w:t>全国十二五教育部规划课题美育专项课题组；</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2014年3月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837"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指导学生荣获“绚丽年华第六届美育成果展”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、学生组</w:t>
            </w:r>
          </w:p>
          <w:p>
            <w:pPr>
              <w:jc w:val="center"/>
              <w:rPr>
                <w:sz w:val="24"/>
              </w:rPr>
            </w:pPr>
            <w:r>
              <w:rPr>
                <w:rFonts w:hint="eastAsia"/>
                <w:sz w:val="24"/>
              </w:rPr>
              <w:t>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中国高等教育学会美育专业委员会；</w:t>
            </w:r>
          </w:p>
          <w:p>
            <w:pPr>
              <w:rPr>
                <w:sz w:val="24"/>
              </w:rPr>
            </w:pPr>
            <w:r>
              <w:rPr>
                <w:rFonts w:hint="eastAsia"/>
                <w:sz w:val="24"/>
              </w:rPr>
              <w:t>全国十二五教育部规划课题美育专项课题组</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2014年3月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282"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指导学生荣获“第五届中国高校美术作品学年展”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国家级、大学组入选</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中国美术研究院；</w:t>
            </w:r>
          </w:p>
          <w:p>
            <w:pPr>
              <w:rPr>
                <w:sz w:val="24"/>
              </w:rPr>
            </w:pPr>
            <w:r>
              <w:rPr>
                <w:rFonts w:hint="eastAsia"/>
                <w:sz w:val="24"/>
              </w:rPr>
              <w:t>中国设计师协会；</w:t>
            </w:r>
          </w:p>
          <w:p>
            <w:pPr>
              <w:rPr>
                <w:sz w:val="24"/>
              </w:rPr>
            </w:pPr>
            <w:r>
              <w:rPr>
                <w:rFonts w:hint="eastAsia"/>
                <w:sz w:val="24"/>
              </w:rPr>
              <w:t>成都蓉城美术馆</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2014年3月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75"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荣获“2014年度优秀教育工作者”</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校级</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w:t>
            </w:r>
            <w:r>
              <w:rPr>
                <w:sz w:val="24"/>
              </w:rPr>
              <w:t>5</w:t>
            </w:r>
            <w:r>
              <w:rPr>
                <w:rFonts w:hint="eastAsia"/>
                <w:sz w:val="24"/>
              </w:rPr>
              <w:t>年</w:t>
            </w:r>
            <w:r>
              <w:rPr>
                <w:sz w:val="24"/>
              </w:rPr>
              <w:t>1</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839"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参加“绚丽年华第七届美育成果展”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、教师组</w:t>
            </w:r>
          </w:p>
          <w:p>
            <w:pPr>
              <w:jc w:val="center"/>
              <w:rPr>
                <w:sz w:val="24"/>
              </w:rPr>
            </w:pPr>
            <w:r>
              <w:rPr>
                <w:rFonts w:hint="eastAsia"/>
                <w:sz w:val="24"/>
              </w:rPr>
              <w:t>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中国高等教育学会美育专业委员会；</w:t>
            </w:r>
          </w:p>
          <w:p>
            <w:pPr>
              <w:rPr>
                <w:sz w:val="24"/>
              </w:rPr>
            </w:pPr>
            <w:r>
              <w:rPr>
                <w:rFonts w:hint="eastAsia"/>
                <w:sz w:val="24"/>
              </w:rPr>
              <w:t>全国十二五教育部规划课题美育专项课题组；</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w:t>
            </w:r>
            <w:r>
              <w:rPr>
                <w:sz w:val="24"/>
              </w:rPr>
              <w:t>5</w:t>
            </w:r>
            <w:r>
              <w:rPr>
                <w:rFonts w:hint="eastAsia"/>
                <w:sz w:val="24"/>
              </w:rPr>
              <w:t>年</w:t>
            </w:r>
            <w:r>
              <w:rPr>
                <w:sz w:val="24"/>
              </w:rPr>
              <w:t>1</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553"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指导学生荣获“绚丽年华第七届美育成果展”</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国家级 、学生组</w:t>
            </w:r>
          </w:p>
          <w:p>
            <w:pPr>
              <w:jc w:val="center"/>
              <w:rPr>
                <w:sz w:val="24"/>
              </w:rPr>
            </w:pPr>
            <w:r>
              <w:rPr>
                <w:rFonts w:hint="eastAsia"/>
                <w:sz w:val="24"/>
              </w:rPr>
              <w:t>一等奖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中国高等教育学会美育专业委员会；</w:t>
            </w:r>
          </w:p>
          <w:p>
            <w:pPr>
              <w:rPr>
                <w:sz w:val="24"/>
              </w:rPr>
            </w:pPr>
            <w:r>
              <w:rPr>
                <w:rFonts w:hint="eastAsia"/>
                <w:sz w:val="24"/>
              </w:rPr>
              <w:t>全国十二五教育部规划课题美育专项课题组；</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201</w:t>
            </w:r>
            <w:r>
              <w:rPr>
                <w:sz w:val="24"/>
              </w:rPr>
              <w:t>5</w:t>
            </w:r>
            <w:r>
              <w:rPr>
                <w:rFonts w:hint="eastAsia"/>
                <w:sz w:val="24"/>
              </w:rPr>
              <w:t>年</w:t>
            </w:r>
            <w:r>
              <w:rPr>
                <w:sz w:val="24"/>
              </w:rPr>
              <w:t>1</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013"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荣获“2015年校级微课教学比赛三等奖”</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院级 、三等奖</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sz w:val="24"/>
              </w:rPr>
              <w:t>2</w:t>
            </w:r>
            <w:r>
              <w:rPr>
                <w:rFonts w:hint="eastAsia"/>
                <w:sz w:val="24"/>
              </w:rPr>
              <w:t>01</w:t>
            </w:r>
            <w:r>
              <w:rPr>
                <w:sz w:val="24"/>
              </w:rPr>
              <w:t>5</w:t>
            </w:r>
            <w:r>
              <w:rPr>
                <w:rFonts w:hint="eastAsia"/>
                <w:sz w:val="24"/>
              </w:rPr>
              <w:t>年</w:t>
            </w:r>
            <w:r>
              <w:rPr>
                <w:sz w:val="24"/>
              </w:rPr>
              <w:t>12</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荣获“2015-</w:t>
            </w:r>
            <w:r>
              <w:rPr>
                <w:sz w:val="24"/>
              </w:rPr>
              <w:t>2016</w:t>
            </w:r>
            <w:r>
              <w:rPr>
                <w:rFonts w:hint="eastAsia"/>
                <w:sz w:val="24"/>
              </w:rPr>
              <w:t>年度学院教学导师”</w:t>
            </w:r>
          </w:p>
        </w:tc>
        <w:tc>
          <w:tcPr>
            <w:tcW w:w="1800" w:type="dxa"/>
            <w:tcBorders>
              <w:top w:val="single" w:color="auto" w:sz="6" w:space="0"/>
              <w:left w:val="single" w:color="auto" w:sz="6" w:space="0"/>
              <w:bottom w:val="single" w:color="auto" w:sz="6" w:space="0"/>
              <w:right w:val="single" w:color="auto" w:sz="6" w:space="0"/>
            </w:tcBorders>
          </w:tcPr>
          <w:p>
            <w:pPr>
              <w:jc w:val="center"/>
              <w:rPr>
                <w:sz w:val="24"/>
              </w:rPr>
            </w:pPr>
            <w:r>
              <w:rPr>
                <w:rFonts w:hint="eastAsia"/>
                <w:sz w:val="24"/>
              </w:rPr>
              <w:t>院级</w:t>
            </w:r>
          </w:p>
        </w:tc>
        <w:tc>
          <w:tcPr>
            <w:tcW w:w="216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rFonts w:hint="eastAsia"/>
                <w:sz w:val="24"/>
              </w:rPr>
            </w:pPr>
            <w:r>
              <w:rPr>
                <w:sz w:val="24"/>
              </w:rPr>
              <w:t>2</w:t>
            </w:r>
            <w:r>
              <w:rPr>
                <w:rFonts w:hint="eastAsia"/>
                <w:sz w:val="24"/>
              </w:rPr>
              <w:t>01</w:t>
            </w:r>
            <w:r>
              <w:rPr>
                <w:sz w:val="24"/>
              </w:rPr>
              <w:t>5</w:t>
            </w:r>
            <w:r>
              <w:rPr>
                <w:rFonts w:hint="eastAsia"/>
                <w:sz w:val="24"/>
              </w:rPr>
              <w:t>年</w:t>
            </w:r>
            <w:r>
              <w:rPr>
                <w:sz w:val="24"/>
              </w:rPr>
              <w:t>12</w:t>
            </w:r>
            <w:r>
              <w:rPr>
                <w:rFonts w:hint="eastAsia"/>
                <w:sz w:val="24"/>
              </w:rPr>
              <w:t>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荣获2016年度优秀中青年教师</w:t>
            </w:r>
          </w:p>
        </w:tc>
        <w:tc>
          <w:tcPr>
            <w:tcW w:w="1800" w:type="dxa"/>
            <w:tcBorders>
              <w:top w:val="single" w:color="auto" w:sz="6" w:space="0"/>
              <w:left w:val="single" w:color="auto" w:sz="6" w:space="0"/>
              <w:bottom w:val="single" w:color="auto" w:sz="6" w:space="0"/>
              <w:right w:val="single" w:color="auto" w:sz="6" w:space="0"/>
            </w:tcBorders>
          </w:tcPr>
          <w:p>
            <w:pPr>
              <w:jc w:val="center"/>
              <w:rPr>
                <w:rFonts w:hint="eastAsia"/>
                <w:sz w:val="24"/>
              </w:rPr>
            </w:pPr>
            <w:r>
              <w:rPr>
                <w:rFonts w:hint="eastAsia"/>
                <w:sz w:val="24"/>
              </w:rPr>
              <w:t>院级</w:t>
            </w:r>
          </w:p>
        </w:tc>
        <w:tc>
          <w:tcPr>
            <w:tcW w:w="216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2017年1月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rFonts w:hint="eastAsia"/>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荣获指导2018级优秀毕业设计一等奖</w:t>
            </w:r>
          </w:p>
        </w:tc>
        <w:tc>
          <w:tcPr>
            <w:tcW w:w="1800" w:type="dxa"/>
            <w:tcBorders>
              <w:top w:val="single" w:color="auto" w:sz="6" w:space="0"/>
              <w:left w:val="single" w:color="auto" w:sz="6" w:space="0"/>
              <w:bottom w:val="single" w:color="auto" w:sz="6" w:space="0"/>
              <w:right w:val="single" w:color="auto" w:sz="6" w:space="0"/>
            </w:tcBorders>
          </w:tcPr>
          <w:p>
            <w:pPr>
              <w:jc w:val="center"/>
              <w:rPr>
                <w:rFonts w:hint="eastAsia"/>
                <w:sz w:val="24"/>
              </w:rPr>
            </w:pPr>
            <w:r>
              <w:rPr>
                <w:rFonts w:hint="eastAsia"/>
                <w:sz w:val="24"/>
              </w:rPr>
              <w:t>院级</w:t>
            </w:r>
          </w:p>
        </w:tc>
        <w:tc>
          <w:tcPr>
            <w:tcW w:w="216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2018年10月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rFonts w:hint="eastAsia"/>
                <w:sz w:val="24"/>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荣获指导2018级优秀毕业设计优秀团队奖</w:t>
            </w:r>
          </w:p>
        </w:tc>
        <w:tc>
          <w:tcPr>
            <w:tcW w:w="1800" w:type="dxa"/>
            <w:tcBorders>
              <w:top w:val="single" w:color="auto" w:sz="6" w:space="0"/>
              <w:left w:val="single" w:color="auto" w:sz="6" w:space="0"/>
              <w:bottom w:val="single" w:color="auto" w:sz="6" w:space="0"/>
              <w:right w:val="single" w:color="auto" w:sz="6" w:space="0"/>
            </w:tcBorders>
          </w:tcPr>
          <w:p>
            <w:pPr>
              <w:jc w:val="center"/>
              <w:rPr>
                <w:rFonts w:hint="eastAsia"/>
                <w:sz w:val="24"/>
              </w:rPr>
            </w:pPr>
            <w:r>
              <w:rPr>
                <w:rFonts w:hint="eastAsia"/>
                <w:sz w:val="24"/>
              </w:rPr>
              <w:t>院级</w:t>
            </w:r>
          </w:p>
        </w:tc>
        <w:tc>
          <w:tcPr>
            <w:tcW w:w="216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2018年10月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rFonts w:hint="eastAsia"/>
                <w:sz w:val="24"/>
              </w:rPr>
            </w:pPr>
            <w:r>
              <w:rPr>
                <w:rFonts w:hint="eastAsia"/>
                <w:sz w:val="24"/>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荣获2018级新生入学指导教育优秀奖</w:t>
            </w:r>
          </w:p>
        </w:tc>
        <w:tc>
          <w:tcPr>
            <w:tcW w:w="1800" w:type="dxa"/>
            <w:tcBorders>
              <w:top w:val="single" w:color="auto" w:sz="6" w:space="0"/>
              <w:left w:val="single" w:color="auto" w:sz="6" w:space="0"/>
              <w:bottom w:val="single" w:color="auto" w:sz="6" w:space="0"/>
              <w:right w:val="single" w:color="auto" w:sz="6" w:space="0"/>
            </w:tcBorders>
          </w:tcPr>
          <w:p>
            <w:pPr>
              <w:jc w:val="center"/>
              <w:rPr>
                <w:rFonts w:hint="eastAsia"/>
                <w:sz w:val="24"/>
              </w:rPr>
            </w:pPr>
            <w:r>
              <w:rPr>
                <w:rFonts w:hint="eastAsia"/>
                <w:sz w:val="24"/>
              </w:rPr>
              <w:t>院级</w:t>
            </w:r>
          </w:p>
        </w:tc>
        <w:tc>
          <w:tcPr>
            <w:tcW w:w="2160" w:type="dxa"/>
            <w:tcBorders>
              <w:top w:val="single" w:color="auto" w:sz="6" w:space="0"/>
              <w:left w:val="single" w:color="auto" w:sz="6" w:space="0"/>
              <w:bottom w:val="single" w:color="auto" w:sz="6" w:space="0"/>
              <w:right w:val="single" w:color="auto" w:sz="6" w:space="0"/>
            </w:tcBorders>
          </w:tcPr>
          <w:p>
            <w:pPr>
              <w:rPr>
                <w:rFonts w:hint="eastAsia"/>
                <w:sz w:val="24"/>
              </w:rPr>
            </w:pPr>
            <w:r>
              <w:rPr>
                <w:rFonts w:hint="eastAsia"/>
                <w:sz w:val="24"/>
              </w:rPr>
              <w:t>苏州高博软件技术职业学院</w:t>
            </w:r>
          </w:p>
        </w:tc>
        <w:tc>
          <w:tcPr>
            <w:tcW w:w="1080" w:type="dxa"/>
            <w:tcBorders>
              <w:top w:val="single" w:color="auto" w:sz="6" w:space="0"/>
              <w:left w:val="single" w:color="auto" w:sz="6" w:space="0"/>
              <w:bottom w:val="single" w:color="auto" w:sz="6" w:space="0"/>
              <w:right w:val="single" w:color="auto" w:sz="6" w:space="0"/>
            </w:tcBorders>
          </w:tcPr>
          <w:p>
            <w:pPr>
              <w:rPr>
                <w:sz w:val="24"/>
              </w:rPr>
            </w:pPr>
            <w:r>
              <w:rPr>
                <w:rFonts w:hint="eastAsia"/>
                <w:sz w:val="24"/>
              </w:rPr>
              <w:t>2018年10月</w:t>
            </w:r>
          </w:p>
        </w:tc>
        <w:tc>
          <w:tcPr>
            <w:tcW w:w="1125" w:type="dxa"/>
            <w:tcBorders>
              <w:top w:val="single" w:color="auto" w:sz="6" w:space="0"/>
              <w:left w:val="single" w:color="auto" w:sz="6" w:space="0"/>
              <w:bottom w:val="single" w:color="auto" w:sz="6" w:space="0"/>
              <w:right w:val="single" w:color="auto" w:sz="6" w:space="0"/>
            </w:tcBorders>
          </w:tcPr>
          <w:p>
            <w:pPr>
              <w:pStyle w:val="2"/>
              <w:ind w:firstLine="0"/>
              <w:jc w:val="center"/>
              <w:rPr>
                <w:rFonts w:hint="eastAsia"/>
                <w:sz w:val="24"/>
              </w:rPr>
            </w:pPr>
            <w:r>
              <w:rPr>
                <w:rFonts w:hint="eastAsia"/>
                <w:sz w:val="24"/>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vAlign w:val="center"/>
          </w:tcPr>
          <w:p>
            <w:pPr>
              <w:rPr>
                <w:sz w:val="24"/>
              </w:rPr>
            </w:pPr>
            <w:r>
              <w:rPr>
                <w:rFonts w:hint="eastAsia"/>
                <w:sz w:val="24"/>
              </w:rPr>
              <w:t>“2018 首届江苏省动漫数媒创意 及制作技能大赛”三等奖</w:t>
            </w: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sz w:val="24"/>
              </w:rPr>
            </w:pPr>
            <w:r>
              <w:rPr>
                <w:rFonts w:hint="eastAsia"/>
                <w:sz w:val="24"/>
              </w:rPr>
              <w:t>省级</w:t>
            </w:r>
          </w:p>
        </w:tc>
        <w:tc>
          <w:tcPr>
            <w:tcW w:w="2160" w:type="dxa"/>
            <w:tcBorders>
              <w:top w:val="single" w:color="auto" w:sz="6" w:space="0"/>
              <w:left w:val="single" w:color="auto" w:sz="6" w:space="0"/>
              <w:bottom w:val="single" w:color="auto" w:sz="6" w:space="0"/>
              <w:right w:val="single" w:color="auto" w:sz="6" w:space="0"/>
            </w:tcBorders>
            <w:vAlign w:val="center"/>
          </w:tcPr>
          <w:p>
            <w:pPr>
              <w:rPr>
                <w:sz w:val="24"/>
              </w:rPr>
            </w:pPr>
            <w:r>
              <w:rPr>
                <w:rFonts w:hint="eastAsia"/>
                <w:sz w:val="24"/>
              </w:rPr>
              <w:t>江苏省艺术教育指导委员会</w:t>
            </w:r>
          </w:p>
        </w:tc>
        <w:tc>
          <w:tcPr>
            <w:tcW w:w="1080" w:type="dxa"/>
            <w:tcBorders>
              <w:top w:val="single" w:color="auto" w:sz="6" w:space="0"/>
              <w:left w:val="single" w:color="auto" w:sz="6" w:space="0"/>
              <w:bottom w:val="single" w:color="auto" w:sz="6" w:space="0"/>
              <w:right w:val="single" w:color="auto" w:sz="6" w:space="0"/>
            </w:tcBorders>
            <w:vAlign w:val="center"/>
          </w:tcPr>
          <w:p>
            <w:pPr>
              <w:rPr>
                <w:sz w:val="24"/>
              </w:rPr>
            </w:pPr>
            <w:r>
              <w:rPr>
                <w:rFonts w:hint="eastAsia"/>
                <w:sz w:val="24"/>
              </w:rPr>
              <w:t>2018年月11</w:t>
            </w:r>
          </w:p>
        </w:tc>
        <w:tc>
          <w:tcPr>
            <w:tcW w:w="1125" w:type="dxa"/>
            <w:tcBorders>
              <w:top w:val="single" w:color="auto" w:sz="6" w:space="0"/>
              <w:left w:val="single" w:color="auto" w:sz="6" w:space="0"/>
              <w:bottom w:val="single" w:color="auto" w:sz="6" w:space="0"/>
              <w:right w:val="single" w:color="auto" w:sz="6" w:space="0"/>
            </w:tcBorders>
            <w:vAlign w:val="center"/>
          </w:tcPr>
          <w:p>
            <w:pPr>
              <w:pStyle w:val="2"/>
              <w:ind w:firstLine="0"/>
              <w:jc w:val="center"/>
              <w:rPr>
                <w:rFonts w:ascii="宋体" w:hAnsi="宋体"/>
              </w:rPr>
            </w:pPr>
            <w:r>
              <w:rPr>
                <w:rFonts w:hint="eastAsia"/>
                <w:sz w:val="24"/>
              </w:rPr>
              <w:t>独立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rFonts w:hint="eastAsia"/>
                <w:sz w:val="24"/>
              </w:rPr>
            </w:pPr>
          </w:p>
        </w:tc>
        <w:tc>
          <w:tcPr>
            <w:tcW w:w="216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08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125" w:type="dxa"/>
            <w:tcBorders>
              <w:top w:val="single" w:color="auto" w:sz="6" w:space="0"/>
              <w:left w:val="single" w:color="auto" w:sz="6" w:space="0"/>
              <w:bottom w:val="single" w:color="auto" w:sz="6" w:space="0"/>
              <w:right w:val="single" w:color="auto" w:sz="6" w:space="0"/>
            </w:tcBorders>
            <w:vAlign w:val="center"/>
          </w:tcPr>
          <w:p>
            <w:pPr>
              <w:pStyle w:val="2"/>
              <w:ind w:firstLine="0"/>
              <w:jc w:val="center"/>
              <w:rPr>
                <w:rFonts w:hint="eastAsia"/>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rFonts w:hint="eastAsia"/>
                <w:sz w:val="24"/>
              </w:rPr>
            </w:pPr>
          </w:p>
        </w:tc>
        <w:tc>
          <w:tcPr>
            <w:tcW w:w="216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08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125" w:type="dxa"/>
            <w:tcBorders>
              <w:top w:val="single" w:color="auto" w:sz="6" w:space="0"/>
              <w:left w:val="single" w:color="auto" w:sz="6" w:space="0"/>
              <w:bottom w:val="single" w:color="auto" w:sz="6" w:space="0"/>
              <w:right w:val="single" w:color="auto" w:sz="6" w:space="0"/>
            </w:tcBorders>
            <w:vAlign w:val="center"/>
          </w:tcPr>
          <w:p>
            <w:pPr>
              <w:pStyle w:val="2"/>
              <w:ind w:firstLine="0"/>
              <w:jc w:val="center"/>
              <w:rPr>
                <w:rFonts w:hint="eastAsia"/>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994" w:hRule="exact"/>
          <w:jc w:val="center"/>
        </w:trPr>
        <w:tc>
          <w:tcPr>
            <w:tcW w:w="2713"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rFonts w:hint="eastAsia"/>
                <w:sz w:val="24"/>
              </w:rPr>
            </w:pPr>
          </w:p>
        </w:tc>
        <w:tc>
          <w:tcPr>
            <w:tcW w:w="216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080" w:type="dxa"/>
            <w:tcBorders>
              <w:top w:val="single" w:color="auto" w:sz="6" w:space="0"/>
              <w:left w:val="single" w:color="auto" w:sz="6" w:space="0"/>
              <w:bottom w:val="single" w:color="auto" w:sz="6" w:space="0"/>
              <w:right w:val="single" w:color="auto" w:sz="6" w:space="0"/>
            </w:tcBorders>
            <w:vAlign w:val="center"/>
          </w:tcPr>
          <w:p>
            <w:pPr>
              <w:rPr>
                <w:rFonts w:hint="eastAsia"/>
                <w:sz w:val="24"/>
              </w:rPr>
            </w:pPr>
          </w:p>
        </w:tc>
        <w:tc>
          <w:tcPr>
            <w:tcW w:w="1125" w:type="dxa"/>
            <w:tcBorders>
              <w:top w:val="single" w:color="auto" w:sz="6" w:space="0"/>
              <w:left w:val="single" w:color="auto" w:sz="6" w:space="0"/>
              <w:bottom w:val="single" w:color="auto" w:sz="6" w:space="0"/>
              <w:right w:val="single" w:color="auto" w:sz="6" w:space="0"/>
            </w:tcBorders>
            <w:vAlign w:val="center"/>
          </w:tcPr>
          <w:p>
            <w:pPr>
              <w:pStyle w:val="2"/>
              <w:ind w:firstLine="0"/>
              <w:jc w:val="center"/>
              <w:rPr>
                <w:rFonts w:hint="eastAsia"/>
                <w:sz w:val="24"/>
              </w:rPr>
            </w:pPr>
          </w:p>
        </w:tc>
      </w:tr>
    </w:tbl>
    <w:p>
      <w:pPr>
        <w:rPr>
          <w:rFonts w:hint="eastAsia"/>
          <w:sz w:val="24"/>
        </w:rPr>
      </w:pPr>
    </w:p>
    <w:p>
      <w:pPr>
        <w:rPr>
          <w:sz w:val="24"/>
        </w:rPr>
      </w:pPr>
    </w:p>
    <w:p>
      <w:pPr>
        <w:spacing w:line="300" w:lineRule="exact"/>
        <w:rPr>
          <w:sz w:val="24"/>
        </w:rPr>
      </w:pPr>
      <w:r>
        <w:rPr>
          <w:sz w:val="24"/>
        </w:rPr>
        <w:t>六、教学、科研成果被采用（引用）情况及其经济社会效益（2014年以来）</w:t>
      </w:r>
    </w:p>
    <w:tbl>
      <w:tblPr>
        <w:tblStyle w:val="6"/>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47" w:type="dxa"/>
            <w:tcBorders>
              <w:top w:val="single" w:color="auto" w:sz="4" w:space="0"/>
              <w:left w:val="single" w:color="auto" w:sz="4" w:space="0"/>
              <w:bottom w:val="single" w:color="auto" w:sz="4" w:space="0"/>
              <w:right w:val="single" w:color="auto" w:sz="4" w:space="0"/>
            </w:tcBorders>
          </w:tcPr>
          <w:p>
            <w:pPr>
              <w:spacing w:line="300" w:lineRule="exact"/>
              <w:rPr>
                <w:sz w:val="24"/>
              </w:rPr>
            </w:pPr>
            <w:r>
              <w:rPr>
                <w:rFonts w:hint="eastAsia"/>
                <w:sz w:val="24"/>
              </w:rPr>
              <w:t>1、横向项目——“新中小学生汉语考试（YCT）关键字笔顺动画制作”——这一项目是和马来西亚合作制作的，海外华人发扬中国的传统文化制作了一套供海外华人孩子学习中国文化的教材，我做的项目是这套教材中重要的一部分，目前已经在海外多个国家推广，产生了良好的经济效益，接下来也会根据需求的过大源源不断的产生经济效益。</w:t>
            </w:r>
          </w:p>
          <w:p>
            <w:pPr>
              <w:spacing w:line="300" w:lineRule="exact"/>
              <w:rPr>
                <w:sz w:val="24"/>
              </w:rPr>
            </w:pPr>
            <w:r>
              <w:rPr>
                <w:sz w:val="24"/>
              </w:rPr>
              <w:t>2、</w:t>
            </w:r>
            <w:r>
              <w:rPr>
                <w:rFonts w:hint="eastAsia"/>
                <w:sz w:val="24"/>
              </w:rPr>
              <w:t>2011年和2014年两年指导的“大学生实践创新训练计划立项项目”和“江苏省大学生创新创业训练计划项目” 的实施不仅促进了高校人才培养模式和教学方法的创新，也鼓励和支持大学生积极参与科学研究、技术开发和创业模拟、创业实践等创新创业活动，强化创新创业能力养成训练，不断增强大学生的创新精神、创造思维、创业意识，提高大学生的创新能力和在创新基础上的创业能力，培养适应行业企业需求的高素质创新创业人才，以创新引领创业，以创业带动就业。</w:t>
            </w:r>
          </w:p>
          <w:p>
            <w:pPr>
              <w:spacing w:line="300" w:lineRule="exact"/>
              <w:rPr>
                <w:sz w:val="24"/>
              </w:rPr>
            </w:pPr>
            <w:r>
              <w:rPr>
                <w:rFonts w:hint="eastAsia"/>
                <w:sz w:val="24"/>
              </w:rPr>
              <w:t>3、课题——“Flash软件在制作科普教育动画中的应用” 带着教研室的老师，研究F</w:t>
            </w:r>
            <w:r>
              <w:rPr>
                <w:sz w:val="24"/>
              </w:rPr>
              <w:t>LASH</w:t>
            </w:r>
            <w:r>
              <w:rPr>
                <w:rFonts w:hint="eastAsia"/>
                <w:sz w:val="24"/>
              </w:rPr>
              <w:t>软件对制作科普教育动画的优势和FLASH软件技术改进等内容，突出FLASH软件制作动画的能力，并把得出的结论应用到实际的教学过程中，使学生学习更有方向性和主动性，教师教学更有目的性和针对性，并在实际教学应用中取得了较好效果。</w:t>
            </w:r>
          </w:p>
          <w:p>
            <w:pPr>
              <w:spacing w:line="300" w:lineRule="exact"/>
              <w:rPr>
                <w:sz w:val="24"/>
              </w:rPr>
            </w:pPr>
            <w:r>
              <w:rPr>
                <w:rFonts w:hint="eastAsia"/>
                <w:sz w:val="24"/>
              </w:rPr>
              <w:t>4、微课——荣获“第二届全国高校数字艺术作品大赛教师组一等奖”，这个微课的制作，给系部乃至学校的老师制作微课提供了参考，不仅提供了技术支持，在微课制作风格和节奏上也给老师们提供了一定的参考资料。</w:t>
            </w:r>
          </w:p>
          <w:p>
            <w:pPr>
              <w:spacing w:line="300" w:lineRule="exact"/>
              <w:rPr>
                <w:sz w:val="24"/>
              </w:rPr>
            </w:pPr>
            <w:r>
              <w:rPr>
                <w:sz w:val="24"/>
              </w:rPr>
              <w:t xml:space="preserve"> 5、</w:t>
            </w:r>
            <w:r>
              <w:rPr>
                <w:rFonts w:hint="eastAsia"/>
                <w:sz w:val="24"/>
              </w:rPr>
              <w:t xml:space="preserve">论文——“刍议国产动画片《大圣归来》的成功之道”、“FLASH软件在科普动画制作中的应用研究”、“浅析移动互联网时代的影视动画发展趋势”这几篇论文是根据当前的动画发展状况，结合高博学院动画专业的学情和本人近年来对动画行业的分析为理论依据，撰写的。这些论文对当前高职院校动画专业的发展和动画专业培养方案的制定提供了一定的依据。 </w:t>
            </w:r>
          </w:p>
          <w:p>
            <w:pPr>
              <w:spacing w:line="300" w:lineRule="exact"/>
              <w:rPr>
                <w:rFonts w:hint="eastAsia"/>
                <w:sz w:val="24"/>
              </w:rPr>
            </w:pPr>
            <w:r>
              <w:rPr>
                <w:rFonts w:hint="eastAsia"/>
                <w:sz w:val="24"/>
              </w:rPr>
              <w:t>6、在苏州方向文化传媒有限公司负责了多个项目的后期动画制作部分，并取得了良好的社会及经济效益。（具体情况在附件证明材料中）</w:t>
            </w:r>
          </w:p>
          <w:p>
            <w:pPr>
              <w:spacing w:line="300" w:lineRule="exact"/>
              <w:rPr>
                <w:sz w:val="24"/>
              </w:rPr>
            </w:pPr>
            <w:r>
              <w:rPr>
                <w:rFonts w:hint="eastAsia"/>
                <w:sz w:val="24"/>
              </w:rPr>
              <w:t>在苏州飞天动画有限公司负责了多部动画片的中期部分制作，取得了良好的设计及经济效益。（具体情况在附件证明材料中）</w:t>
            </w: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sz w:val="24"/>
              </w:rPr>
            </w:pPr>
          </w:p>
          <w:p>
            <w:pPr>
              <w:spacing w:line="300" w:lineRule="exact"/>
              <w:rPr>
                <w:rFonts w:hint="eastAsia"/>
                <w:sz w:val="24"/>
              </w:rPr>
            </w:pPr>
          </w:p>
          <w:p>
            <w:pPr>
              <w:spacing w:line="300" w:lineRule="exact"/>
              <w:rPr>
                <w:sz w:val="24"/>
              </w:rPr>
            </w:pPr>
          </w:p>
        </w:tc>
      </w:tr>
    </w:tbl>
    <w:p>
      <w:pPr>
        <w:spacing w:line="660" w:lineRule="atLeast"/>
        <w:rPr>
          <w:sz w:val="24"/>
        </w:rPr>
      </w:pPr>
    </w:p>
    <w:p>
      <w:pPr>
        <w:spacing w:line="660" w:lineRule="atLeast"/>
        <w:rPr>
          <w:sz w:val="24"/>
        </w:rPr>
      </w:pPr>
      <w:r>
        <w:rPr>
          <w:sz w:val="24"/>
        </w:rPr>
        <w:t>七、</w:t>
      </w:r>
      <w:r>
        <w:rPr>
          <w:bCs/>
          <w:sz w:val="24"/>
          <w:szCs w:val="28"/>
        </w:rPr>
        <w:t>获选后拟开展的主要研究工作及预期成果</w:t>
      </w:r>
    </w:p>
    <w:tbl>
      <w:tblPr>
        <w:tblStyle w:val="6"/>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980" w:hRule="atLeast"/>
        </w:trPr>
        <w:tc>
          <w:tcPr>
            <w:tcW w:w="8820" w:type="dxa"/>
            <w:tcBorders>
              <w:top w:val="single" w:color="auto" w:sz="4" w:space="0"/>
              <w:left w:val="single" w:color="auto" w:sz="4" w:space="0"/>
              <w:bottom w:val="single" w:color="auto" w:sz="4" w:space="0"/>
              <w:right w:val="single" w:color="auto" w:sz="4" w:space="0"/>
            </w:tcBorders>
            <w:vAlign w:val="bottom"/>
          </w:tcPr>
          <w:p>
            <w:pPr>
              <w:spacing w:line="300" w:lineRule="exact"/>
              <w:rPr>
                <w:sz w:val="24"/>
              </w:rPr>
            </w:pPr>
            <w:r>
              <w:rPr>
                <w:rFonts w:hint="eastAsia"/>
                <w:sz w:val="24"/>
              </w:rPr>
              <w:t>获选后拟开展的主要研究工作及预期成果：</w:t>
            </w:r>
          </w:p>
          <w:p>
            <w:pPr>
              <w:spacing w:line="300" w:lineRule="exact"/>
              <w:rPr>
                <w:sz w:val="24"/>
              </w:rPr>
            </w:pPr>
            <w:r>
              <w:rPr>
                <w:rFonts w:hint="eastAsia"/>
                <w:sz w:val="24"/>
              </w:rPr>
              <w:t>主要研究工作：</w:t>
            </w:r>
          </w:p>
          <w:p>
            <w:pPr>
              <w:spacing w:line="300" w:lineRule="exact"/>
              <w:rPr>
                <w:sz w:val="24"/>
              </w:rPr>
            </w:pPr>
            <w:r>
              <w:rPr>
                <w:rFonts w:hint="eastAsia"/>
                <w:sz w:val="24"/>
              </w:rPr>
              <w:t>1 推进校企合作，完善人才培养模式，进行高职影视动画专业特色的“校企合作、工学结合”的人才培养模式研究与建设；</w:t>
            </w:r>
          </w:p>
          <w:p>
            <w:pPr>
              <w:spacing w:line="300" w:lineRule="exact"/>
              <w:rPr>
                <w:sz w:val="24"/>
              </w:rPr>
            </w:pPr>
            <w:r>
              <w:rPr>
                <w:sz w:val="24"/>
              </w:rPr>
              <w:t xml:space="preserve">2 </w:t>
            </w:r>
            <w:r>
              <w:rPr>
                <w:rFonts w:hint="eastAsia"/>
                <w:sz w:val="24"/>
              </w:rPr>
              <w:t>推进课程体系改革，建设“项目化、进阶式”的影视动画课程体系，开发基于网络在线开放核心课程及相关教学资源库，编写与课程体系相配套的教材；</w:t>
            </w:r>
          </w:p>
          <w:p>
            <w:pPr>
              <w:spacing w:line="300" w:lineRule="exact"/>
              <w:rPr>
                <w:sz w:val="24"/>
              </w:rPr>
            </w:pPr>
            <w:r>
              <w:rPr>
                <w:rFonts w:hint="eastAsia"/>
                <w:sz w:val="24"/>
              </w:rPr>
              <w:t>3 加强与区域视觉传播设计与制作和影视动画专业的企业交流合作，实现校企互聘，一方面进入企业挂职锻炼，通过企业的真实项目提升自身专业技术能力以及对专业岗位需求的深入了解；另一方面引企入校，与企业一线技术人员一起完成教材开发、课程建设、横向课题等工作，以及引入企业项目进入课程中，实现项目化教学；大力拓展与企业的合作，以多种形式的合作改善实践教学的备件，满足实践教学的需要，提高学生的实践操作能力；</w:t>
            </w:r>
          </w:p>
          <w:p>
            <w:pPr>
              <w:spacing w:line="300" w:lineRule="exact"/>
              <w:rPr>
                <w:sz w:val="24"/>
              </w:rPr>
            </w:pPr>
            <w:r>
              <w:rPr>
                <w:rFonts w:hint="eastAsia"/>
                <w:sz w:val="24"/>
              </w:rPr>
              <w:t>4 在高职影视动画教学研究方面主要研究方向在“基于MOOC、SPOC的网络在线开放课程开发”领域，研究MOOC、SPOC等网络课程开发的规律与方法，并通过视觉传播设计与制作专业和影视动画专业网络课程的建设进行理论成果的实践验证；</w:t>
            </w:r>
          </w:p>
          <w:p>
            <w:pPr>
              <w:spacing w:line="300" w:lineRule="exact"/>
              <w:rPr>
                <w:rFonts w:hint="eastAsia"/>
                <w:sz w:val="24"/>
              </w:rPr>
            </w:pPr>
            <w:r>
              <w:rPr>
                <w:rFonts w:hint="eastAsia"/>
                <w:sz w:val="24"/>
              </w:rPr>
              <w:t>5 在影视动画专业学术科研方面，主要研究“近年来新媒体领域的无纸动画技术的应用以及新媒体传播中动画短片的创新形式。”研究并指导学生进行新媒体领域的影视动画的创作；</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c>
      </w:tr>
    </w:tbl>
    <w:p>
      <w:pPr>
        <w:rPr>
          <w:rFonts w:hint="eastAsia"/>
          <w:sz w:val="24"/>
        </w:rPr>
      </w:pPr>
    </w:p>
    <w:p>
      <w:pPr>
        <w:rPr>
          <w:rFonts w:hint="eastAsia"/>
          <w:sz w:val="24"/>
        </w:rPr>
      </w:pPr>
    </w:p>
    <w:p>
      <w:pPr>
        <w:rPr>
          <w:sz w:val="24"/>
        </w:rPr>
      </w:pPr>
    </w:p>
    <w:p>
      <w:pPr>
        <w:rPr>
          <w:sz w:val="24"/>
        </w:rPr>
      </w:pPr>
      <w:r>
        <w:rPr>
          <w:sz w:val="24"/>
        </w:rPr>
        <w:t>八、学校今后3年对推荐人选的培养计划和措施（与院(系、部)和推荐人选共同商定）</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8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1" w:hRule="atLeast"/>
        </w:trPr>
        <w:tc>
          <w:tcPr>
            <w:tcW w:w="55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培</w:t>
            </w:r>
          </w:p>
          <w:p>
            <w:pPr>
              <w:jc w:val="center"/>
              <w:rPr>
                <w:sz w:val="24"/>
              </w:rPr>
            </w:pPr>
          </w:p>
          <w:p>
            <w:pPr>
              <w:jc w:val="center"/>
              <w:rPr>
                <w:sz w:val="24"/>
              </w:rPr>
            </w:pPr>
            <w:r>
              <w:rPr>
                <w:sz w:val="24"/>
              </w:rPr>
              <w:t>养</w:t>
            </w:r>
          </w:p>
          <w:p>
            <w:pPr>
              <w:jc w:val="center"/>
              <w:rPr>
                <w:sz w:val="24"/>
              </w:rPr>
            </w:pPr>
          </w:p>
          <w:p>
            <w:pPr>
              <w:jc w:val="center"/>
              <w:rPr>
                <w:sz w:val="24"/>
              </w:rPr>
            </w:pPr>
            <w:r>
              <w:rPr>
                <w:sz w:val="24"/>
              </w:rPr>
              <w:t>计</w:t>
            </w:r>
          </w:p>
          <w:p>
            <w:pPr>
              <w:jc w:val="center"/>
              <w:rPr>
                <w:sz w:val="24"/>
              </w:rPr>
            </w:pPr>
          </w:p>
          <w:p>
            <w:pPr>
              <w:jc w:val="center"/>
              <w:rPr>
                <w:sz w:val="24"/>
              </w:rPr>
            </w:pPr>
            <w:r>
              <w:rPr>
                <w:sz w:val="24"/>
              </w:rPr>
              <w:t>划</w:t>
            </w:r>
          </w:p>
        </w:tc>
        <w:tc>
          <w:tcPr>
            <w:tcW w:w="8265" w:type="dxa"/>
            <w:tcBorders>
              <w:top w:val="single" w:color="auto" w:sz="4" w:space="0"/>
              <w:left w:val="single" w:color="auto" w:sz="4" w:space="0"/>
              <w:bottom w:val="single" w:color="auto" w:sz="4" w:space="0"/>
              <w:right w:val="single" w:color="auto" w:sz="4" w:space="0"/>
            </w:tcBorders>
          </w:tcPr>
          <w:p>
            <w:pPr>
              <w:ind w:firstLine="560" w:firstLineChars="200"/>
              <w:rPr>
                <w:sz w:val="28"/>
              </w:rPr>
            </w:pPr>
            <w:r>
              <w:rPr>
                <w:rFonts w:hint="eastAsia"/>
                <w:sz w:val="28"/>
              </w:rPr>
              <w:t>按照省教育厅有关高校“青蓝工程”培养工作的要求，结合我校影视动画专业和视觉传达艺术专业建设和发展的需要，对该同志重点从以下两个方面加强培养：一是加强影视动画专业和视觉传播设计与制作专业改革研究和实验的能力培养，尽快成为我校中青年优秀骨干教师专业带头人；二是加强影视动画专业和视觉传播设计与制作专业研究的科研能力培养，争取三年后在科研上取得相应成果，尽快成为优秀的教科研研究方面的带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9" w:hRule="atLeast"/>
        </w:trPr>
        <w:tc>
          <w:tcPr>
            <w:tcW w:w="555"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培</w:t>
            </w:r>
          </w:p>
          <w:p>
            <w:pPr>
              <w:jc w:val="center"/>
              <w:rPr>
                <w:sz w:val="24"/>
              </w:rPr>
            </w:pPr>
          </w:p>
          <w:p>
            <w:pPr>
              <w:jc w:val="center"/>
              <w:rPr>
                <w:sz w:val="24"/>
              </w:rPr>
            </w:pPr>
            <w:r>
              <w:rPr>
                <w:sz w:val="24"/>
              </w:rPr>
              <w:t>养</w:t>
            </w:r>
          </w:p>
          <w:p>
            <w:pPr>
              <w:jc w:val="center"/>
              <w:rPr>
                <w:sz w:val="24"/>
              </w:rPr>
            </w:pPr>
          </w:p>
          <w:p>
            <w:pPr>
              <w:jc w:val="center"/>
              <w:rPr>
                <w:sz w:val="24"/>
              </w:rPr>
            </w:pPr>
            <w:r>
              <w:rPr>
                <w:sz w:val="24"/>
              </w:rPr>
              <w:t>措</w:t>
            </w:r>
          </w:p>
          <w:p>
            <w:pPr>
              <w:jc w:val="center"/>
              <w:rPr>
                <w:sz w:val="24"/>
              </w:rPr>
            </w:pPr>
          </w:p>
          <w:p>
            <w:pPr>
              <w:jc w:val="center"/>
              <w:rPr>
                <w:sz w:val="24"/>
              </w:rPr>
            </w:pPr>
            <w:r>
              <w:rPr>
                <w:sz w:val="24"/>
              </w:rPr>
              <w:t>施</w:t>
            </w:r>
          </w:p>
        </w:tc>
        <w:tc>
          <w:tcPr>
            <w:tcW w:w="8265" w:type="dxa"/>
            <w:tcBorders>
              <w:top w:val="single" w:color="auto" w:sz="4" w:space="0"/>
              <w:left w:val="single" w:color="auto" w:sz="4" w:space="0"/>
              <w:bottom w:val="single" w:color="auto" w:sz="4" w:space="0"/>
              <w:right w:val="single" w:color="auto" w:sz="4" w:space="0"/>
            </w:tcBorders>
          </w:tcPr>
          <w:p>
            <w:pPr>
              <w:rPr>
                <w:sz w:val="28"/>
              </w:rPr>
            </w:pPr>
            <w:r>
              <w:rPr>
                <w:rFonts w:hint="eastAsia"/>
                <w:sz w:val="28"/>
              </w:rPr>
              <w:t xml:space="preserve">1、制定该同志教科研三年和各年度计划，督促完成，定期检查； </w:t>
            </w:r>
          </w:p>
          <w:p>
            <w:pPr>
              <w:rPr>
                <w:sz w:val="28"/>
              </w:rPr>
            </w:pPr>
            <w:r>
              <w:rPr>
                <w:rFonts w:hint="eastAsia"/>
                <w:sz w:val="28"/>
              </w:rPr>
              <w:t xml:space="preserve">2、将对该同志的培养纳入学校教师队伍建设“十三五”规划，按照学校教师培养的相关文件加强培养； </w:t>
            </w:r>
          </w:p>
          <w:p>
            <w:pPr>
              <w:rPr>
                <w:sz w:val="28"/>
              </w:rPr>
            </w:pPr>
            <w:r>
              <w:rPr>
                <w:rFonts w:hint="eastAsia"/>
                <w:sz w:val="28"/>
              </w:rPr>
              <w:t xml:space="preserve">3、按照相关政策要求提供进修、调研、实践、专题活动等各项条件； </w:t>
            </w:r>
          </w:p>
          <w:p>
            <w:pPr>
              <w:rPr>
                <w:rFonts w:hint="eastAsia"/>
                <w:sz w:val="28"/>
              </w:rPr>
            </w:pPr>
            <w:r>
              <w:rPr>
                <w:rFonts w:hint="eastAsia"/>
                <w:sz w:val="28"/>
              </w:rPr>
              <w:t>4、按照教育厅文件要求提供配套的科研经费。</w:t>
            </w:r>
          </w:p>
        </w:tc>
      </w:tr>
    </w:tbl>
    <w:p>
      <w:pPr>
        <w:rPr>
          <w:sz w:val="24"/>
        </w:rPr>
      </w:pPr>
      <w:r>
        <w:rPr>
          <w:sz w:val="24"/>
        </w:rPr>
        <w:br w:type="page"/>
      </w:r>
      <w:r>
        <w:rPr>
          <w:sz w:val="24"/>
        </w:rPr>
        <w:t>九、院（系、部）评议推荐组意见</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900"/>
        <w:gridCol w:w="1080"/>
        <w:gridCol w:w="720"/>
        <w:gridCol w:w="1260"/>
        <w:gridCol w:w="885"/>
        <w:gridCol w:w="7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2" w:hRule="atLeast"/>
        </w:trPr>
        <w:tc>
          <w:tcPr>
            <w:tcW w:w="8820" w:type="dxa"/>
            <w:gridSpan w:val="8"/>
            <w:tcBorders>
              <w:top w:val="single" w:color="auto" w:sz="4" w:space="0"/>
              <w:left w:val="single" w:color="auto" w:sz="4" w:space="0"/>
              <w:bottom w:val="single" w:color="auto" w:sz="4" w:space="0"/>
              <w:right w:val="single" w:color="auto" w:sz="4" w:space="0"/>
            </w:tcBorders>
          </w:tcPr>
          <w:p>
            <w:pPr>
              <w:rPr>
                <w:sz w:val="28"/>
              </w:rPr>
            </w:pPr>
          </w:p>
          <w:p>
            <w:pPr>
              <w:rPr>
                <w:sz w:val="24"/>
              </w:rPr>
            </w:pPr>
          </w:p>
          <w:p>
            <w:pPr>
              <w:rPr>
                <w:sz w:val="24"/>
              </w:rPr>
            </w:pPr>
          </w:p>
          <w:p>
            <w:pPr>
              <w:rPr>
                <w:sz w:val="24"/>
              </w:rPr>
            </w:pPr>
          </w:p>
          <w:p>
            <w:pPr>
              <w:ind w:firstLine="5055"/>
              <w:rPr>
                <w:sz w:val="24"/>
              </w:rPr>
            </w:pPr>
            <w:r>
              <w:rPr>
                <w:sz w:val="24"/>
              </w:rPr>
              <w:t>组长签字＿＿＿＿＿＿</w:t>
            </w:r>
          </w:p>
          <w:p>
            <w:pPr>
              <w:ind w:firstLine="6492" w:firstLineChars="2705"/>
              <w:rPr>
                <w:sz w:val="28"/>
              </w:rPr>
            </w:pPr>
            <w:r>
              <w:rPr>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995" w:type="dxa"/>
            <w:tcBorders>
              <w:top w:val="single" w:color="auto" w:sz="4" w:space="0"/>
              <w:left w:val="single" w:color="auto" w:sz="4" w:space="0"/>
              <w:bottom w:val="single" w:color="auto" w:sz="4" w:space="0"/>
              <w:right w:val="single" w:color="auto" w:sz="4" w:space="0"/>
            </w:tcBorders>
            <w:vAlign w:val="center"/>
          </w:tcPr>
          <w:p>
            <w:pPr>
              <w:ind w:firstLine="240" w:firstLineChars="100"/>
              <w:jc w:val="center"/>
              <w:rPr>
                <w:sz w:val="24"/>
              </w:rPr>
            </w:pPr>
            <w:r>
              <w:rPr>
                <w:sz w:val="24"/>
              </w:rPr>
              <w:t>院（系、部）</w:t>
            </w:r>
          </w:p>
          <w:p>
            <w:pPr>
              <w:jc w:val="center"/>
              <w:rPr>
                <w:sz w:val="28"/>
              </w:rPr>
            </w:pPr>
            <w:r>
              <w:rPr>
                <w:sz w:val="24"/>
              </w:rPr>
              <w:t>评议推荐组人数</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同意</w:t>
            </w:r>
          </w:p>
          <w:p>
            <w:pPr>
              <w:jc w:val="center"/>
              <w:rPr>
                <w:sz w:val="24"/>
              </w:rPr>
            </w:pPr>
            <w:r>
              <w:rPr>
                <w:sz w:val="24"/>
              </w:rPr>
              <w:t>人数</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不同意</w:t>
            </w:r>
          </w:p>
          <w:p>
            <w:pPr>
              <w:jc w:val="center"/>
              <w:rPr>
                <w:sz w:val="24"/>
              </w:rPr>
            </w:pPr>
            <w:r>
              <w:rPr>
                <w:sz w:val="24"/>
              </w:rPr>
              <w:t>人 数</w:t>
            </w:r>
          </w:p>
        </w:tc>
        <w:tc>
          <w:tcPr>
            <w:tcW w:w="885"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弃权</w:t>
            </w:r>
          </w:p>
          <w:p>
            <w:pPr>
              <w:jc w:val="center"/>
              <w:rPr>
                <w:sz w:val="24"/>
              </w:rPr>
            </w:pPr>
            <w:r>
              <w:rPr>
                <w:sz w:val="24"/>
              </w:rPr>
              <w:t>人数</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r>
    </w:tbl>
    <w:p>
      <w:pPr>
        <w:rPr>
          <w:sz w:val="24"/>
        </w:rPr>
      </w:pPr>
    </w:p>
    <w:p>
      <w:pPr>
        <w:rPr>
          <w:sz w:val="24"/>
        </w:rPr>
      </w:pPr>
      <w:r>
        <w:rPr>
          <w:sz w:val="24"/>
        </w:rPr>
        <w:t>十、校评审委员会意见</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900"/>
        <w:gridCol w:w="1080"/>
        <w:gridCol w:w="720"/>
        <w:gridCol w:w="1260"/>
        <w:gridCol w:w="885"/>
        <w:gridCol w:w="7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3" w:hRule="atLeast"/>
        </w:trPr>
        <w:tc>
          <w:tcPr>
            <w:tcW w:w="8820" w:type="dxa"/>
            <w:gridSpan w:val="8"/>
            <w:tcBorders>
              <w:top w:val="single" w:color="auto" w:sz="4" w:space="0"/>
              <w:left w:val="single" w:color="auto" w:sz="4" w:space="0"/>
              <w:bottom w:val="single" w:color="auto" w:sz="4" w:space="0"/>
              <w:right w:val="single" w:color="auto" w:sz="4" w:space="0"/>
            </w:tcBorders>
          </w:tcPr>
          <w:p>
            <w:pPr>
              <w:rPr>
                <w:sz w:val="28"/>
              </w:rPr>
            </w:pPr>
          </w:p>
          <w:p>
            <w:pPr>
              <w:rPr>
                <w:sz w:val="28"/>
              </w:rPr>
            </w:pPr>
          </w:p>
          <w:p>
            <w:pPr>
              <w:rPr>
                <w:sz w:val="24"/>
              </w:rPr>
            </w:pPr>
          </w:p>
          <w:p>
            <w:pPr>
              <w:ind w:firstLine="4320" w:firstLineChars="1800"/>
              <w:rPr>
                <w:sz w:val="24"/>
              </w:rPr>
            </w:pPr>
            <w:r>
              <w:rPr>
                <w:sz w:val="24"/>
              </w:rPr>
              <w:t>评委会主任签字＿＿＿＿＿＿</w:t>
            </w:r>
          </w:p>
          <w:p>
            <w:pPr>
              <w:ind w:firstLine="6492" w:firstLineChars="2705"/>
              <w:rPr>
                <w:sz w:val="28"/>
              </w:rPr>
            </w:pPr>
            <w:r>
              <w:rPr>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1995" w:type="dxa"/>
            <w:tcBorders>
              <w:top w:val="single" w:color="auto" w:sz="4" w:space="0"/>
              <w:left w:val="single" w:color="auto" w:sz="4" w:space="0"/>
              <w:bottom w:val="single" w:color="auto" w:sz="4" w:space="0"/>
              <w:right w:val="single" w:color="auto" w:sz="4" w:space="0"/>
            </w:tcBorders>
            <w:vAlign w:val="center"/>
          </w:tcPr>
          <w:p>
            <w:pPr>
              <w:rPr>
                <w:sz w:val="28"/>
              </w:rPr>
            </w:pPr>
            <w:r>
              <w:rPr>
                <w:sz w:val="24"/>
              </w:rPr>
              <w:t>评审委员会人数</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同意</w:t>
            </w:r>
          </w:p>
          <w:p>
            <w:pPr>
              <w:jc w:val="center"/>
              <w:rPr>
                <w:sz w:val="24"/>
              </w:rPr>
            </w:pPr>
            <w:r>
              <w:rPr>
                <w:sz w:val="24"/>
              </w:rPr>
              <w:t>人数</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不同意</w:t>
            </w:r>
          </w:p>
          <w:p>
            <w:pPr>
              <w:jc w:val="center"/>
              <w:rPr>
                <w:sz w:val="24"/>
              </w:rPr>
            </w:pPr>
            <w:r>
              <w:rPr>
                <w:sz w:val="24"/>
              </w:rPr>
              <w:t>人 数</w:t>
            </w:r>
          </w:p>
        </w:tc>
        <w:tc>
          <w:tcPr>
            <w:tcW w:w="885"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弃权</w:t>
            </w:r>
          </w:p>
          <w:p>
            <w:pPr>
              <w:jc w:val="center"/>
              <w:rPr>
                <w:sz w:val="24"/>
              </w:rPr>
            </w:pPr>
            <w:r>
              <w:rPr>
                <w:sz w:val="24"/>
              </w:rPr>
              <w:t>人数</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jc w:val="center"/>
              <w:rPr>
                <w:sz w:val="24"/>
              </w:rPr>
            </w:pPr>
          </w:p>
          <w:p>
            <w:pPr>
              <w:jc w:val="center"/>
              <w:rPr>
                <w:sz w:val="24"/>
              </w:rPr>
            </w:pPr>
          </w:p>
        </w:tc>
      </w:tr>
    </w:tbl>
    <w:p>
      <w:pPr>
        <w:rPr>
          <w:sz w:val="24"/>
        </w:rPr>
      </w:pPr>
    </w:p>
    <w:p>
      <w:pPr>
        <w:rPr>
          <w:sz w:val="24"/>
        </w:rPr>
      </w:pPr>
      <w:r>
        <w:rPr>
          <w:sz w:val="24"/>
        </w:rPr>
        <w:t>十一、学校推荐意见</w:t>
      </w:r>
    </w:p>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3" w:hRule="atLeast"/>
        </w:trPr>
        <w:tc>
          <w:tcPr>
            <w:tcW w:w="8820" w:type="dxa"/>
            <w:tcBorders>
              <w:top w:val="single" w:color="auto" w:sz="4" w:space="0"/>
              <w:left w:val="single" w:color="auto" w:sz="4" w:space="0"/>
              <w:bottom w:val="single" w:color="auto" w:sz="4" w:space="0"/>
              <w:right w:val="single" w:color="auto" w:sz="4" w:space="0"/>
            </w:tcBorders>
          </w:tcPr>
          <w:p>
            <w:pPr>
              <w:rPr>
                <w:sz w:val="28"/>
              </w:rPr>
            </w:pPr>
          </w:p>
          <w:p>
            <w:pPr>
              <w:rPr>
                <w:sz w:val="28"/>
              </w:rPr>
            </w:pPr>
          </w:p>
          <w:p>
            <w:pPr>
              <w:rPr>
                <w:sz w:val="28"/>
              </w:rPr>
            </w:pPr>
          </w:p>
          <w:p>
            <w:pPr>
              <w:rPr>
                <w:sz w:val="28"/>
              </w:rPr>
            </w:pPr>
          </w:p>
          <w:p>
            <w:pPr>
              <w:ind w:firstLine="4800"/>
              <w:rPr>
                <w:sz w:val="24"/>
              </w:rPr>
            </w:pPr>
          </w:p>
          <w:p>
            <w:pPr>
              <w:ind w:firstLine="4800"/>
              <w:rPr>
                <w:sz w:val="24"/>
              </w:rPr>
            </w:pPr>
            <w:r>
              <w:rPr>
                <w:sz w:val="24"/>
              </w:rPr>
              <w:t>校（院）长签字＿＿＿＿＿</w:t>
            </w:r>
          </w:p>
          <w:p>
            <w:pPr>
              <w:ind w:firstLine="5600"/>
              <w:rPr>
                <w:sz w:val="28"/>
              </w:rPr>
            </w:pPr>
            <w:r>
              <w:rPr>
                <w:sz w:val="24"/>
              </w:rPr>
              <w:t>年     月     日</w:t>
            </w:r>
          </w:p>
        </w:tc>
      </w:tr>
    </w:tbl>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F0CA0"/>
    <w:multiLevelType w:val="multilevel"/>
    <w:tmpl w:val="231F0C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6E81"/>
    <w:rsid w:val="00002F74"/>
    <w:rsid w:val="00032C6C"/>
    <w:rsid w:val="00062B0C"/>
    <w:rsid w:val="00064E61"/>
    <w:rsid w:val="00085717"/>
    <w:rsid w:val="00127FC1"/>
    <w:rsid w:val="00167E4B"/>
    <w:rsid w:val="001F7364"/>
    <w:rsid w:val="0023798F"/>
    <w:rsid w:val="00240356"/>
    <w:rsid w:val="002B4188"/>
    <w:rsid w:val="002E4055"/>
    <w:rsid w:val="002F5FFC"/>
    <w:rsid w:val="00397F6C"/>
    <w:rsid w:val="004128F1"/>
    <w:rsid w:val="004931F9"/>
    <w:rsid w:val="005422D3"/>
    <w:rsid w:val="00587662"/>
    <w:rsid w:val="005F12AC"/>
    <w:rsid w:val="006274F0"/>
    <w:rsid w:val="00627952"/>
    <w:rsid w:val="00670179"/>
    <w:rsid w:val="00676496"/>
    <w:rsid w:val="0069431C"/>
    <w:rsid w:val="00757152"/>
    <w:rsid w:val="007846ED"/>
    <w:rsid w:val="007B36F8"/>
    <w:rsid w:val="007C5C74"/>
    <w:rsid w:val="008072E7"/>
    <w:rsid w:val="00814547"/>
    <w:rsid w:val="00817031"/>
    <w:rsid w:val="00817A0B"/>
    <w:rsid w:val="008237FE"/>
    <w:rsid w:val="008655DC"/>
    <w:rsid w:val="0086778B"/>
    <w:rsid w:val="00884BE4"/>
    <w:rsid w:val="008D4C47"/>
    <w:rsid w:val="009079B5"/>
    <w:rsid w:val="00926E81"/>
    <w:rsid w:val="009B6397"/>
    <w:rsid w:val="009E6DC5"/>
    <w:rsid w:val="00A156C8"/>
    <w:rsid w:val="00A323BA"/>
    <w:rsid w:val="00B02895"/>
    <w:rsid w:val="00B208E2"/>
    <w:rsid w:val="00BD69FB"/>
    <w:rsid w:val="00C1222D"/>
    <w:rsid w:val="00C43280"/>
    <w:rsid w:val="00C75248"/>
    <w:rsid w:val="00C75743"/>
    <w:rsid w:val="00C80FA4"/>
    <w:rsid w:val="00CF0C11"/>
    <w:rsid w:val="00D2593E"/>
    <w:rsid w:val="00D70C16"/>
    <w:rsid w:val="00D76FE2"/>
    <w:rsid w:val="00E6600B"/>
    <w:rsid w:val="00EB5EFC"/>
    <w:rsid w:val="00EF1A01"/>
    <w:rsid w:val="00F207F2"/>
    <w:rsid w:val="00F54AEF"/>
    <w:rsid w:val="00F94C98"/>
    <w:rsid w:val="3F775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99"/>
    <w:pPr>
      <w:ind w:firstLine="420"/>
    </w:pPr>
    <w:rPr>
      <w:szCs w:val="21"/>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8"/>
    <w:uiPriority w:val="0"/>
    <w:pPr>
      <w:widowControl/>
      <w:spacing w:line="300" w:lineRule="exact"/>
      <w:jc w:val="center"/>
    </w:pPr>
    <w:rPr>
      <w:sz w:val="24"/>
    </w:rPr>
  </w:style>
  <w:style w:type="character" w:customStyle="1" w:styleId="7">
    <w:name w:val="页眉 Char"/>
    <w:basedOn w:val="5"/>
    <w:link w:val="3"/>
    <w:uiPriority w:val="0"/>
    <w:rPr>
      <w:rFonts w:ascii="Times New Roman" w:hAnsi="Times New Roman" w:eastAsia="宋体" w:cs="Times New Roman"/>
      <w:sz w:val="18"/>
      <w:szCs w:val="18"/>
    </w:rPr>
  </w:style>
  <w:style w:type="character" w:customStyle="1" w:styleId="8">
    <w:name w:val="正文文本 2 Char"/>
    <w:basedOn w:val="5"/>
    <w:link w:val="4"/>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1029</Words>
  <Characters>5871</Characters>
  <Lines>48</Lines>
  <Paragraphs>13</Paragraphs>
  <TotalTime>132</TotalTime>
  <ScaleCrop>false</ScaleCrop>
  <LinksUpToDate>false</LinksUpToDate>
  <CharactersWithSpaces>6887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2018-12-10T02:57:00Z</dcterms:created>
  <dc:creator>微软用户</dc:creator>
  <cp:lastModifiedBy>哖卟苌卟短卟媞距離</cp:lastModifiedBy>
  <dcterms:modified xsi:type="dcterms:W3CDTF">2018-12-10T06:36:41Z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